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F3" w:rsidRDefault="00054BF3">
      <w:pPr>
        <w:rPr>
          <w:rFonts w:ascii="Arial" w:eastAsia="Arial" w:hAnsi="Arial" w:cs="Arial"/>
          <w:sz w:val="20"/>
          <w:szCs w:val="20"/>
        </w:rPr>
      </w:pPr>
    </w:p>
    <w:p w:rsidR="00054BF3" w:rsidRDefault="005835A5" w:rsidP="00007EFA">
      <w:pPr>
        <w:spacing w:before="214"/>
        <w:ind w:left="2632" w:right="2630" w:firstLine="1238"/>
        <w:rPr>
          <w:rFonts w:ascii="Arial" w:eastAsia="Arial" w:hAnsi="Arial" w:cs="Arial"/>
          <w:sz w:val="24"/>
          <w:szCs w:val="24"/>
        </w:rPr>
      </w:pPr>
      <w:r>
        <w:rPr>
          <w:rFonts w:ascii="Arial"/>
          <w:spacing w:val="-1"/>
          <w:sz w:val="24"/>
        </w:rPr>
        <w:t>CITY OF DETROIT</w:t>
      </w:r>
    </w:p>
    <w:p w:rsidR="00054BF3" w:rsidRDefault="00054BF3">
      <w:pPr>
        <w:rPr>
          <w:rFonts w:ascii="Arial" w:eastAsia="Arial" w:hAnsi="Arial" w:cs="Arial"/>
          <w:sz w:val="24"/>
          <w:szCs w:val="24"/>
        </w:rPr>
      </w:pPr>
    </w:p>
    <w:p w:rsidR="00054BF3" w:rsidRDefault="00D92E22">
      <w:pPr>
        <w:ind w:left="3592" w:right="3591"/>
        <w:jc w:val="center"/>
        <w:rPr>
          <w:rFonts w:ascii="Arial" w:eastAsia="Arial" w:hAnsi="Arial" w:cs="Arial"/>
          <w:sz w:val="24"/>
          <w:szCs w:val="24"/>
        </w:rPr>
      </w:pPr>
      <w:r>
        <w:rPr>
          <w:rFonts w:ascii="Arial"/>
          <w:spacing w:val="-1"/>
          <w:sz w:val="24"/>
        </w:rPr>
        <w:t>SPECIAL</w:t>
      </w:r>
      <w:r>
        <w:rPr>
          <w:rFonts w:ascii="Arial"/>
          <w:sz w:val="24"/>
        </w:rPr>
        <w:t xml:space="preserve"> </w:t>
      </w:r>
      <w:r>
        <w:rPr>
          <w:rFonts w:ascii="Arial"/>
          <w:spacing w:val="-1"/>
          <w:sz w:val="24"/>
        </w:rPr>
        <w:t>PROVISION</w:t>
      </w:r>
      <w:r>
        <w:rPr>
          <w:rFonts w:ascii="Arial"/>
          <w:spacing w:val="21"/>
          <w:sz w:val="24"/>
        </w:rPr>
        <w:t xml:space="preserve"> </w:t>
      </w:r>
      <w:r>
        <w:rPr>
          <w:rFonts w:ascii="Arial"/>
          <w:spacing w:val="-1"/>
          <w:sz w:val="24"/>
        </w:rPr>
        <w:t>FOR</w:t>
      </w:r>
    </w:p>
    <w:p w:rsidR="00054BF3" w:rsidRDefault="0014573D">
      <w:pPr>
        <w:spacing w:before="1"/>
        <w:ind w:left="1586" w:right="1584"/>
        <w:jc w:val="center"/>
        <w:rPr>
          <w:rFonts w:ascii="Arial" w:eastAsia="Arial" w:hAnsi="Arial" w:cs="Arial"/>
          <w:sz w:val="24"/>
          <w:szCs w:val="24"/>
        </w:rPr>
      </w:pPr>
      <w:r>
        <w:rPr>
          <w:rFonts w:ascii="Arial"/>
          <w:b/>
          <w:spacing w:val="-1"/>
          <w:sz w:val="24"/>
        </w:rPr>
        <w:t>METHYL METHACRYLATE (MMA)</w:t>
      </w:r>
      <w:r w:rsidR="00D92E22">
        <w:rPr>
          <w:rFonts w:ascii="Arial"/>
          <w:b/>
          <w:spacing w:val="29"/>
          <w:sz w:val="24"/>
        </w:rPr>
        <w:t xml:space="preserve"> </w:t>
      </w:r>
      <w:r w:rsidR="00D92E22">
        <w:rPr>
          <w:rFonts w:ascii="Arial"/>
          <w:b/>
          <w:spacing w:val="-1"/>
          <w:sz w:val="24"/>
        </w:rPr>
        <w:t>PAVEMENT</w:t>
      </w:r>
      <w:r w:rsidR="00D92E22">
        <w:rPr>
          <w:rFonts w:ascii="Arial"/>
          <w:b/>
          <w:sz w:val="24"/>
        </w:rPr>
        <w:t xml:space="preserve"> </w:t>
      </w:r>
      <w:r w:rsidR="00D92E22">
        <w:rPr>
          <w:rFonts w:ascii="Arial"/>
          <w:b/>
          <w:spacing w:val="-1"/>
          <w:sz w:val="24"/>
        </w:rPr>
        <w:t>MARKING</w:t>
      </w:r>
      <w:r w:rsidR="00D92E22">
        <w:rPr>
          <w:rFonts w:ascii="Arial"/>
          <w:b/>
          <w:sz w:val="24"/>
        </w:rPr>
        <w:t xml:space="preserve"> </w:t>
      </w:r>
      <w:r w:rsidR="00D92E22">
        <w:rPr>
          <w:rFonts w:ascii="Arial"/>
          <w:b/>
          <w:spacing w:val="-1"/>
          <w:sz w:val="24"/>
        </w:rPr>
        <w:t>MATERIAL</w:t>
      </w:r>
    </w:p>
    <w:p w:rsidR="00054BF3" w:rsidRDefault="00054BF3">
      <w:pPr>
        <w:spacing w:before="10"/>
        <w:rPr>
          <w:rFonts w:ascii="Arial" w:eastAsia="Arial" w:hAnsi="Arial" w:cs="Arial"/>
          <w:b/>
          <w:bCs/>
          <w:sz w:val="23"/>
          <w:szCs w:val="23"/>
        </w:rPr>
      </w:pPr>
    </w:p>
    <w:p w:rsidR="00054BF3" w:rsidRDefault="005835A5" w:rsidP="005835A5">
      <w:pPr>
        <w:pStyle w:val="Heading1"/>
        <w:tabs>
          <w:tab w:val="left" w:pos="4498"/>
          <w:tab w:val="left" w:pos="8460"/>
        </w:tabs>
        <w:ind w:left="8550" w:right="117" w:hanging="8280"/>
      </w:pPr>
      <w:r>
        <w:rPr>
          <w:spacing w:val="-1"/>
        </w:rPr>
        <w:t>SGJJR:ES</w:t>
      </w:r>
      <w:r w:rsidR="00D92E22">
        <w:rPr>
          <w:spacing w:val="-1"/>
        </w:rPr>
        <w:t>M</w:t>
      </w:r>
      <w:r w:rsidR="00D92E22">
        <w:rPr>
          <w:spacing w:val="-1"/>
        </w:rPr>
        <w:tab/>
      </w:r>
      <w:r w:rsidR="00D92E22">
        <w:t xml:space="preserve">1 </w:t>
      </w:r>
      <w:r w:rsidR="00D92E22">
        <w:rPr>
          <w:spacing w:val="-1"/>
        </w:rPr>
        <w:t>of</w:t>
      </w:r>
      <w:r w:rsidR="00D92E22">
        <w:t xml:space="preserve"> 1</w:t>
      </w:r>
      <w:r w:rsidR="00D92E22">
        <w:tab/>
      </w:r>
      <w:r w:rsidR="002F4BCA">
        <w:rPr>
          <w:spacing w:val="-1"/>
        </w:rPr>
        <w:t>01-24</w:t>
      </w:r>
      <w:bookmarkStart w:id="0" w:name="_GoBack"/>
      <w:bookmarkEnd w:id="0"/>
      <w:r>
        <w:rPr>
          <w:spacing w:val="-1"/>
        </w:rPr>
        <w:t>-17</w:t>
      </w:r>
      <w:r w:rsidR="00D92E22">
        <w:rPr>
          <w:spacing w:val="26"/>
        </w:rPr>
        <w:t xml:space="preserve"> </w:t>
      </w:r>
    </w:p>
    <w:p w:rsidR="00054BF3" w:rsidRDefault="00054BF3">
      <w:pPr>
        <w:spacing w:before="1"/>
        <w:rPr>
          <w:rFonts w:ascii="Arial" w:eastAsia="Arial" w:hAnsi="Arial" w:cs="Arial"/>
        </w:rPr>
      </w:pPr>
    </w:p>
    <w:p w:rsidR="00054BF3" w:rsidRDefault="00D92E22">
      <w:pPr>
        <w:pStyle w:val="BodyText"/>
        <w:numPr>
          <w:ilvl w:val="0"/>
          <w:numId w:val="1"/>
        </w:numPr>
        <w:tabs>
          <w:tab w:val="left" w:pos="840"/>
        </w:tabs>
        <w:ind w:right="118" w:firstLine="360"/>
        <w:jc w:val="both"/>
      </w:pPr>
      <w:r>
        <w:rPr>
          <w:b/>
        </w:rPr>
        <w:t>Description.</w:t>
      </w:r>
      <w:r>
        <w:rPr>
          <w:b/>
          <w:spacing w:val="39"/>
        </w:rPr>
        <w:t xml:space="preserve"> </w:t>
      </w:r>
      <w:r>
        <w:t xml:space="preserve">This work consists of providing and applying </w:t>
      </w:r>
      <w:r w:rsidR="00B91C89">
        <w:t>methyl methacrylate (MMA)</w:t>
      </w:r>
      <w:r>
        <w:t xml:space="preserve"> permanent pavement markings. Provide markings, shapes, spacing and dimensions as shown on plans.</w:t>
      </w:r>
    </w:p>
    <w:p w:rsidR="00054BF3" w:rsidRDefault="00054BF3">
      <w:pPr>
        <w:rPr>
          <w:rFonts w:ascii="Arial" w:eastAsia="Arial" w:hAnsi="Arial" w:cs="Arial"/>
        </w:rPr>
      </w:pPr>
    </w:p>
    <w:p w:rsidR="00054BF3" w:rsidRDefault="00D92E22">
      <w:pPr>
        <w:pStyle w:val="BodyText"/>
        <w:numPr>
          <w:ilvl w:val="0"/>
          <w:numId w:val="1"/>
        </w:numPr>
        <w:tabs>
          <w:tab w:val="left" w:pos="840"/>
        </w:tabs>
        <w:ind w:right="118" w:firstLine="360"/>
        <w:jc w:val="both"/>
      </w:pPr>
      <w:r>
        <w:rPr>
          <w:b/>
        </w:rPr>
        <w:t>Materials.</w:t>
      </w:r>
      <w:r>
        <w:rPr>
          <w:b/>
          <w:spacing w:val="16"/>
        </w:rPr>
        <w:t xml:space="preserve"> </w:t>
      </w:r>
      <w:r>
        <w:t>Select</w:t>
      </w:r>
      <w:r>
        <w:rPr>
          <w:spacing w:val="7"/>
        </w:rPr>
        <w:t xml:space="preserve"> </w:t>
      </w:r>
      <w:r>
        <w:t>pavement</w:t>
      </w:r>
      <w:r>
        <w:rPr>
          <w:spacing w:val="8"/>
        </w:rPr>
        <w:t xml:space="preserve"> </w:t>
      </w:r>
      <w:r>
        <w:t>marking</w:t>
      </w:r>
      <w:r>
        <w:rPr>
          <w:spacing w:val="7"/>
        </w:rPr>
        <w:t xml:space="preserve"> </w:t>
      </w:r>
      <w:r>
        <w:t>material</w:t>
      </w:r>
      <w:r>
        <w:rPr>
          <w:spacing w:val="7"/>
        </w:rPr>
        <w:t xml:space="preserve"> </w:t>
      </w:r>
      <w:r>
        <w:t>from</w:t>
      </w:r>
      <w:r>
        <w:rPr>
          <w:spacing w:val="7"/>
        </w:rPr>
        <w:t xml:space="preserve"> </w:t>
      </w:r>
      <w:r w:rsidR="0049671B">
        <w:t>a single manufacturer for the entire project</w:t>
      </w:r>
      <w:r>
        <w:t>.</w:t>
      </w:r>
      <w:r w:rsidR="0049671B">
        <w:t xml:space="preserve"> Pavement marking material shall meet the follow characteristics: </w:t>
      </w:r>
    </w:p>
    <w:p w:rsidR="0049671B" w:rsidRDefault="0049671B" w:rsidP="0049671B">
      <w:pPr>
        <w:pStyle w:val="ListParagraph"/>
      </w:pPr>
    </w:p>
    <w:p w:rsidR="0049671B" w:rsidRPr="00F56AE4" w:rsidRDefault="0049671B" w:rsidP="0049671B">
      <w:pPr>
        <w:pStyle w:val="BodyText"/>
        <w:tabs>
          <w:tab w:val="left" w:pos="840"/>
        </w:tabs>
        <w:ind w:left="479" w:right="118" w:firstLine="0"/>
        <w:rPr>
          <w:u w:val="single"/>
        </w:rPr>
      </w:pPr>
      <w:r w:rsidRPr="00F56AE4">
        <w:rPr>
          <w:u w:val="single"/>
        </w:rPr>
        <w:t xml:space="preserve">Binder Resin: </w:t>
      </w:r>
    </w:p>
    <w:p w:rsidR="0049671B" w:rsidRDefault="0049671B" w:rsidP="0049671B">
      <w:pPr>
        <w:pStyle w:val="BodyText"/>
        <w:tabs>
          <w:tab w:val="left" w:pos="840"/>
        </w:tabs>
        <w:ind w:left="479" w:right="118" w:firstLine="0"/>
      </w:pPr>
      <w:r>
        <w:tab/>
        <w:t>Density</w:t>
      </w:r>
      <w:r>
        <w:tab/>
      </w:r>
      <w:r>
        <w:tab/>
        <w:t xml:space="preserve">8.1 +/-.35 </w:t>
      </w:r>
      <w:proofErr w:type="spellStart"/>
      <w:r>
        <w:t>Lbs</w:t>
      </w:r>
      <w:proofErr w:type="spellEnd"/>
      <w:r>
        <w:t>/Gal</w:t>
      </w:r>
    </w:p>
    <w:p w:rsidR="0049671B" w:rsidRDefault="0049671B" w:rsidP="0049671B">
      <w:pPr>
        <w:pStyle w:val="BodyText"/>
        <w:tabs>
          <w:tab w:val="left" w:pos="840"/>
        </w:tabs>
        <w:ind w:left="479" w:right="118" w:firstLine="0"/>
      </w:pPr>
      <w:r>
        <w:tab/>
        <w:t>Tensile</w:t>
      </w:r>
      <w:r>
        <w:tab/>
      </w:r>
      <w:r>
        <w:tab/>
        <w:t>&gt; 400 psi (ASTM D638)</w:t>
      </w:r>
    </w:p>
    <w:p w:rsidR="0049671B" w:rsidRDefault="0049671B" w:rsidP="0049671B">
      <w:pPr>
        <w:pStyle w:val="BodyText"/>
        <w:tabs>
          <w:tab w:val="left" w:pos="840"/>
        </w:tabs>
        <w:ind w:left="479" w:right="118" w:firstLine="0"/>
      </w:pPr>
      <w:r>
        <w:tab/>
        <w:t>Elongation</w:t>
      </w:r>
      <w:r>
        <w:tab/>
      </w:r>
      <w:r>
        <w:tab/>
        <w:t>&gt; 180% (ASTM D638)</w:t>
      </w:r>
    </w:p>
    <w:p w:rsidR="0049671B" w:rsidRDefault="0049671B" w:rsidP="0049671B">
      <w:pPr>
        <w:pStyle w:val="BodyText"/>
        <w:tabs>
          <w:tab w:val="left" w:pos="840"/>
        </w:tabs>
        <w:ind w:left="479" w:right="118" w:firstLine="0"/>
      </w:pPr>
      <w:r>
        <w:tab/>
        <w:t>Flash Point</w:t>
      </w:r>
      <w:r>
        <w:tab/>
      </w:r>
      <w:r>
        <w:tab/>
        <w:t>&gt;</w:t>
      </w:r>
      <w:r w:rsidR="00F56AE4">
        <w:t xml:space="preserve"> </w:t>
      </w:r>
      <w:r>
        <w:t>10%</w:t>
      </w:r>
      <w:r w:rsidR="00F56AE4">
        <w:t xml:space="preserve"> </w:t>
      </w:r>
      <w:r w:rsidR="00F56AE4">
        <w:rPr>
          <w:rFonts w:cs="Arial"/>
        </w:rPr>
        <w:t>°</w:t>
      </w:r>
      <w:r w:rsidR="00F56AE4">
        <w:t>C (ASTM D1310)</w:t>
      </w:r>
    </w:p>
    <w:p w:rsidR="00F56AE4" w:rsidRDefault="00F56AE4" w:rsidP="0049671B">
      <w:pPr>
        <w:pStyle w:val="BodyText"/>
        <w:tabs>
          <w:tab w:val="left" w:pos="840"/>
        </w:tabs>
        <w:ind w:left="479" w:right="118" w:firstLine="0"/>
      </w:pPr>
      <w:r w:rsidRPr="00F56AE4">
        <w:rPr>
          <w:u w:val="single"/>
        </w:rPr>
        <w:t>Aggregate</w:t>
      </w:r>
      <w:r>
        <w:t>:</w:t>
      </w:r>
    </w:p>
    <w:p w:rsidR="00F56AE4" w:rsidRDefault="00F56AE4" w:rsidP="0049671B">
      <w:pPr>
        <w:pStyle w:val="BodyText"/>
        <w:tabs>
          <w:tab w:val="left" w:pos="840"/>
        </w:tabs>
        <w:ind w:left="479" w:right="118" w:firstLine="0"/>
      </w:pPr>
      <w:r>
        <w:tab/>
        <w:t>Hardness</w:t>
      </w:r>
      <w:r>
        <w:tab/>
      </w:r>
      <w:r>
        <w:tab/>
        <w:t xml:space="preserve">9 </w:t>
      </w:r>
      <w:proofErr w:type="spellStart"/>
      <w:r>
        <w:t>Mohrs</w:t>
      </w:r>
      <w:proofErr w:type="spellEnd"/>
      <w:r>
        <w:t xml:space="preserve"> Scale</w:t>
      </w:r>
    </w:p>
    <w:p w:rsidR="00F56AE4" w:rsidRPr="00F56AE4" w:rsidRDefault="00F56AE4" w:rsidP="0049671B">
      <w:pPr>
        <w:pStyle w:val="BodyText"/>
        <w:tabs>
          <w:tab w:val="left" w:pos="840"/>
        </w:tabs>
        <w:ind w:left="479" w:right="118" w:firstLine="0"/>
        <w:rPr>
          <w:u w:val="single"/>
        </w:rPr>
      </w:pPr>
      <w:r w:rsidRPr="00F56AE4">
        <w:rPr>
          <w:u w:val="single"/>
        </w:rPr>
        <w:t>Preferential Lane Treatment:</w:t>
      </w:r>
    </w:p>
    <w:p w:rsidR="00F56AE4" w:rsidRDefault="00F56AE4" w:rsidP="0049671B">
      <w:pPr>
        <w:pStyle w:val="BodyText"/>
        <w:tabs>
          <w:tab w:val="left" w:pos="840"/>
        </w:tabs>
        <w:ind w:left="479" w:right="118" w:firstLine="0"/>
      </w:pPr>
      <w:r>
        <w:tab/>
        <w:t>Density</w:t>
      </w:r>
      <w:r>
        <w:tab/>
      </w:r>
      <w:r>
        <w:tab/>
        <w:t xml:space="preserve">18.5+/-0.5 </w:t>
      </w:r>
      <w:proofErr w:type="spellStart"/>
      <w:r>
        <w:t>Lbs</w:t>
      </w:r>
      <w:proofErr w:type="spellEnd"/>
      <w:r>
        <w:t>/Gal</w:t>
      </w:r>
    </w:p>
    <w:p w:rsidR="00F56AE4" w:rsidRDefault="00F56AE4" w:rsidP="0049671B">
      <w:pPr>
        <w:pStyle w:val="BodyText"/>
        <w:tabs>
          <w:tab w:val="left" w:pos="840"/>
        </w:tabs>
        <w:ind w:left="479" w:right="118" w:firstLine="0"/>
      </w:pPr>
      <w:r>
        <w:tab/>
        <w:t>Build Thickness</w:t>
      </w:r>
      <w:r>
        <w:tab/>
        <w:t>90 +/-10 Mils</w:t>
      </w:r>
    </w:p>
    <w:p w:rsidR="00F56AE4" w:rsidRDefault="00F56AE4" w:rsidP="0049671B">
      <w:pPr>
        <w:pStyle w:val="BodyText"/>
        <w:tabs>
          <w:tab w:val="left" w:pos="840"/>
        </w:tabs>
        <w:ind w:left="479" w:right="118" w:firstLine="0"/>
      </w:pPr>
      <w:r>
        <w:tab/>
        <w:t>VOC</w:t>
      </w:r>
      <w:r>
        <w:tab/>
      </w:r>
      <w:r>
        <w:tab/>
      </w:r>
      <w:r>
        <w:tab/>
        <w:t>&lt; 100 Grams/Liter</w:t>
      </w:r>
    </w:p>
    <w:p w:rsidR="00F56AE4" w:rsidRDefault="00F56AE4" w:rsidP="0049671B">
      <w:pPr>
        <w:pStyle w:val="BodyText"/>
        <w:tabs>
          <w:tab w:val="left" w:pos="840"/>
        </w:tabs>
        <w:ind w:left="479" w:right="118" w:firstLine="0"/>
      </w:pPr>
      <w:r>
        <w:tab/>
        <w:t>Pot Life</w:t>
      </w:r>
      <w:r>
        <w:tab/>
      </w:r>
      <w:r>
        <w:tab/>
        <w:t>~15min (AASHTO T237)</w:t>
      </w:r>
    </w:p>
    <w:p w:rsidR="00F56AE4" w:rsidRDefault="00F56AE4" w:rsidP="0049671B">
      <w:pPr>
        <w:pStyle w:val="BodyText"/>
        <w:tabs>
          <w:tab w:val="left" w:pos="840"/>
        </w:tabs>
        <w:ind w:left="479" w:right="118" w:firstLine="0"/>
      </w:pPr>
      <w:r>
        <w:tab/>
        <w:t>Solids</w:t>
      </w:r>
      <w:r>
        <w:tab/>
      </w:r>
      <w:r>
        <w:tab/>
      </w:r>
      <w:r>
        <w:tab/>
        <w:t>&gt; 99% cured (ASTM D2369)</w:t>
      </w:r>
    </w:p>
    <w:p w:rsidR="00F56AE4" w:rsidRDefault="00F56AE4" w:rsidP="0049671B">
      <w:pPr>
        <w:pStyle w:val="BodyText"/>
        <w:tabs>
          <w:tab w:val="left" w:pos="840"/>
        </w:tabs>
        <w:ind w:left="479" w:right="118" w:firstLine="0"/>
      </w:pPr>
      <w:r>
        <w:tab/>
        <w:t>Skid</w:t>
      </w:r>
      <w:r>
        <w:tab/>
      </w:r>
      <w:r>
        <w:tab/>
      </w:r>
      <w:r>
        <w:tab/>
        <w:t>&gt; 60 (ASTM E303)</w:t>
      </w:r>
    </w:p>
    <w:p w:rsidR="00F56AE4" w:rsidRDefault="00F56AE4" w:rsidP="0049671B">
      <w:pPr>
        <w:pStyle w:val="BodyText"/>
        <w:tabs>
          <w:tab w:val="left" w:pos="840"/>
        </w:tabs>
        <w:ind w:left="479" w:right="118" w:firstLine="0"/>
      </w:pPr>
      <w:r>
        <w:tab/>
        <w:t>Hardness</w:t>
      </w:r>
      <w:r>
        <w:tab/>
      </w:r>
      <w:r>
        <w:tab/>
        <w:t>50-60 (ASTM D2240)</w:t>
      </w:r>
    </w:p>
    <w:p w:rsidR="00F56AE4" w:rsidRDefault="00F56AE4" w:rsidP="0049671B">
      <w:pPr>
        <w:pStyle w:val="BodyText"/>
        <w:tabs>
          <w:tab w:val="left" w:pos="840"/>
        </w:tabs>
        <w:ind w:left="479" w:right="118" w:firstLine="0"/>
      </w:pPr>
      <w:r>
        <w:tab/>
        <w:t>Water Absorption</w:t>
      </w:r>
      <w:r>
        <w:tab/>
        <w:t>&lt; 0.25% (ASTM D570)</w:t>
      </w:r>
    </w:p>
    <w:p w:rsidR="00F56AE4" w:rsidRDefault="00F56AE4" w:rsidP="0049671B">
      <w:pPr>
        <w:pStyle w:val="BodyText"/>
        <w:tabs>
          <w:tab w:val="left" w:pos="840"/>
        </w:tabs>
        <w:ind w:left="479" w:right="118" w:firstLine="0"/>
      </w:pPr>
      <w:r>
        <w:tab/>
        <w:t>Cure Time</w:t>
      </w:r>
      <w:r>
        <w:tab/>
      </w:r>
      <w:r>
        <w:tab/>
        <w:t>&lt; 30 Minutes</w:t>
      </w:r>
    </w:p>
    <w:p w:rsidR="00176357" w:rsidRDefault="00176357" w:rsidP="0049671B">
      <w:pPr>
        <w:pStyle w:val="BodyText"/>
        <w:tabs>
          <w:tab w:val="left" w:pos="840"/>
        </w:tabs>
        <w:ind w:left="479" w:right="118" w:firstLine="0"/>
      </w:pPr>
    </w:p>
    <w:p w:rsidR="00176357" w:rsidRPr="00F56AE4" w:rsidRDefault="00176357" w:rsidP="0049671B">
      <w:pPr>
        <w:pStyle w:val="BodyText"/>
        <w:tabs>
          <w:tab w:val="left" w:pos="840"/>
        </w:tabs>
        <w:ind w:left="479" w:right="118" w:firstLine="0"/>
      </w:pPr>
      <w:r>
        <w:t xml:space="preserve">The contractor shall </w:t>
      </w:r>
      <w:r w:rsidRPr="001B2AC3">
        <w:rPr>
          <w:rFonts w:cs="Arial"/>
        </w:rPr>
        <w:t>provide the Engineer with Material Safety Data Sheets (MSDS) for all materials and supplies used for this contract. The Contractor shall properly dispose of unused material and containers in accordance with the Federal Resource Conservation Recovery Act (RCRA) of 1976 and the Michigan Hazardous Waste Management Act (ACT 64). The Contractor must provide for storage of materials and or equipment.</w:t>
      </w:r>
    </w:p>
    <w:p w:rsidR="00054BF3" w:rsidRDefault="00054BF3">
      <w:pPr>
        <w:rPr>
          <w:rFonts w:ascii="Arial" w:eastAsia="Arial" w:hAnsi="Arial" w:cs="Arial"/>
        </w:rPr>
      </w:pPr>
    </w:p>
    <w:p w:rsidR="00054BF3" w:rsidRDefault="00D92E22">
      <w:pPr>
        <w:pStyle w:val="BodyText"/>
        <w:numPr>
          <w:ilvl w:val="0"/>
          <w:numId w:val="1"/>
        </w:numPr>
        <w:tabs>
          <w:tab w:val="left" w:pos="840"/>
        </w:tabs>
        <w:ind w:right="117" w:firstLine="360"/>
        <w:jc w:val="both"/>
      </w:pPr>
      <w:r>
        <w:rPr>
          <w:b/>
        </w:rPr>
        <w:t>Construction.</w:t>
      </w:r>
      <w:r>
        <w:rPr>
          <w:b/>
          <w:spacing w:val="45"/>
        </w:rPr>
        <w:t xml:space="preserve"> </w:t>
      </w:r>
      <w:r>
        <w:t>Place</w:t>
      </w:r>
      <w:r>
        <w:rPr>
          <w:spacing w:val="20"/>
        </w:rPr>
        <w:t xml:space="preserve"> </w:t>
      </w:r>
      <w:r>
        <w:rPr>
          <w:spacing w:val="-1"/>
        </w:rPr>
        <w:t>permanent</w:t>
      </w:r>
      <w:r>
        <w:rPr>
          <w:spacing w:val="19"/>
        </w:rPr>
        <w:t xml:space="preserve"> </w:t>
      </w:r>
      <w:r>
        <w:t>pavement</w:t>
      </w:r>
      <w:r>
        <w:rPr>
          <w:spacing w:val="20"/>
        </w:rPr>
        <w:t xml:space="preserve"> </w:t>
      </w:r>
      <w:r>
        <w:t>markings</w:t>
      </w:r>
      <w:r>
        <w:rPr>
          <w:spacing w:val="20"/>
        </w:rPr>
        <w:t xml:space="preserve"> </w:t>
      </w:r>
      <w:r>
        <w:t>in</w:t>
      </w:r>
      <w:r>
        <w:rPr>
          <w:spacing w:val="19"/>
        </w:rPr>
        <w:t xml:space="preserve"> </w:t>
      </w:r>
      <w:r>
        <w:rPr>
          <w:spacing w:val="-1"/>
        </w:rPr>
        <w:t>accordance</w:t>
      </w:r>
      <w:r>
        <w:rPr>
          <w:spacing w:val="19"/>
        </w:rPr>
        <w:t xml:space="preserve"> </w:t>
      </w:r>
      <w:r>
        <w:t>with</w:t>
      </w:r>
      <w:r>
        <w:rPr>
          <w:spacing w:val="19"/>
        </w:rPr>
        <w:t xml:space="preserve"> </w:t>
      </w:r>
      <w:r w:rsidR="00F56AE4">
        <w:t>manufacturer’s recommendations</w:t>
      </w:r>
      <w:r>
        <w:t>.</w:t>
      </w:r>
      <w:r w:rsidR="00176357">
        <w:t xml:space="preserve"> Pavement markings shall be installed at 90 mils build thickness.</w:t>
      </w:r>
    </w:p>
    <w:p w:rsidR="00054BF3" w:rsidRDefault="00054BF3">
      <w:pPr>
        <w:spacing w:before="11"/>
        <w:rPr>
          <w:rFonts w:ascii="Arial" w:eastAsia="Arial" w:hAnsi="Arial" w:cs="Arial"/>
          <w:sz w:val="21"/>
          <w:szCs w:val="21"/>
        </w:rPr>
      </w:pPr>
    </w:p>
    <w:p w:rsidR="00054BF3" w:rsidRDefault="00D92E22">
      <w:pPr>
        <w:pStyle w:val="BodyText"/>
        <w:numPr>
          <w:ilvl w:val="0"/>
          <w:numId w:val="1"/>
        </w:numPr>
        <w:tabs>
          <w:tab w:val="left" w:pos="840"/>
        </w:tabs>
        <w:ind w:right="119" w:firstLine="360"/>
        <w:jc w:val="both"/>
      </w:pPr>
      <w:r>
        <w:rPr>
          <w:b/>
        </w:rPr>
        <w:t>Measurement</w:t>
      </w:r>
      <w:r>
        <w:rPr>
          <w:b/>
          <w:spacing w:val="-1"/>
        </w:rPr>
        <w:t xml:space="preserve"> </w:t>
      </w:r>
      <w:r>
        <w:rPr>
          <w:b/>
        </w:rPr>
        <w:t>and</w:t>
      </w:r>
      <w:r>
        <w:rPr>
          <w:b/>
          <w:spacing w:val="-1"/>
        </w:rPr>
        <w:t xml:space="preserve"> </w:t>
      </w:r>
      <w:r>
        <w:rPr>
          <w:b/>
        </w:rPr>
        <w:t>Payment.</w:t>
      </w:r>
      <w:r>
        <w:rPr>
          <w:b/>
          <w:spacing w:val="59"/>
        </w:rPr>
        <w:t xml:space="preserve"> </w:t>
      </w:r>
      <w:r>
        <w:t>The</w:t>
      </w:r>
      <w:r>
        <w:rPr>
          <w:spacing w:val="-3"/>
        </w:rPr>
        <w:t xml:space="preserve"> </w:t>
      </w:r>
      <w:r>
        <w:t>completed</w:t>
      </w:r>
      <w:r>
        <w:rPr>
          <w:spacing w:val="-1"/>
        </w:rPr>
        <w:t xml:space="preserve"> </w:t>
      </w:r>
      <w:r>
        <w:t>work, as</w:t>
      </w:r>
      <w:r>
        <w:rPr>
          <w:spacing w:val="-1"/>
        </w:rPr>
        <w:t xml:space="preserve"> described, </w:t>
      </w:r>
      <w:r>
        <w:t>will</w:t>
      </w:r>
      <w:r>
        <w:rPr>
          <w:spacing w:val="-2"/>
        </w:rPr>
        <w:t xml:space="preserve"> </w:t>
      </w:r>
      <w:r>
        <w:t>be</w:t>
      </w:r>
      <w:r>
        <w:rPr>
          <w:spacing w:val="-1"/>
        </w:rPr>
        <w:t xml:space="preserve"> </w:t>
      </w:r>
      <w:r>
        <w:t>measured</w:t>
      </w:r>
      <w:r>
        <w:rPr>
          <w:spacing w:val="-1"/>
        </w:rPr>
        <w:t xml:space="preserve"> </w:t>
      </w:r>
      <w:r>
        <w:t>and</w:t>
      </w:r>
      <w:r>
        <w:rPr>
          <w:spacing w:val="20"/>
          <w:w w:val="99"/>
        </w:rPr>
        <w:t xml:space="preserve"> </w:t>
      </w:r>
      <w:r>
        <w:t>paid</w:t>
      </w:r>
      <w:r>
        <w:rPr>
          <w:spacing w:val="-5"/>
        </w:rPr>
        <w:t xml:space="preserve"> </w:t>
      </w:r>
      <w:r>
        <w:t>for</w:t>
      </w:r>
      <w:r>
        <w:rPr>
          <w:spacing w:val="-5"/>
        </w:rPr>
        <w:t xml:space="preserve"> </w:t>
      </w:r>
      <w:r>
        <w:t>at</w:t>
      </w:r>
      <w:r>
        <w:rPr>
          <w:spacing w:val="-5"/>
        </w:rPr>
        <w:t xml:space="preserve"> </w:t>
      </w:r>
      <w:r>
        <w:rPr>
          <w:spacing w:val="-1"/>
        </w:rPr>
        <w:t>the</w:t>
      </w:r>
      <w:r>
        <w:rPr>
          <w:spacing w:val="-5"/>
        </w:rPr>
        <w:t xml:space="preserve"> </w:t>
      </w:r>
      <w:r>
        <w:t>contract</w:t>
      </w:r>
      <w:r>
        <w:rPr>
          <w:spacing w:val="-5"/>
        </w:rPr>
        <w:t xml:space="preserve"> </w:t>
      </w:r>
      <w:r>
        <w:rPr>
          <w:spacing w:val="-1"/>
        </w:rPr>
        <w:t>unit</w:t>
      </w:r>
      <w:r>
        <w:rPr>
          <w:spacing w:val="-4"/>
        </w:rPr>
        <w:t xml:space="preserve"> </w:t>
      </w:r>
      <w:r>
        <w:t>price</w:t>
      </w:r>
      <w:r>
        <w:rPr>
          <w:spacing w:val="-5"/>
        </w:rPr>
        <w:t xml:space="preserve"> </w:t>
      </w:r>
      <w:r>
        <w:rPr>
          <w:spacing w:val="-1"/>
        </w:rPr>
        <w:t>using</w:t>
      </w:r>
      <w:r>
        <w:rPr>
          <w:spacing w:val="-5"/>
        </w:rPr>
        <w:t xml:space="preserve"> </w:t>
      </w:r>
      <w:r>
        <w:t>the</w:t>
      </w:r>
      <w:r>
        <w:rPr>
          <w:spacing w:val="-5"/>
        </w:rPr>
        <w:t xml:space="preserve"> </w:t>
      </w:r>
      <w:r>
        <w:rPr>
          <w:spacing w:val="-1"/>
        </w:rPr>
        <w:t>following</w:t>
      </w:r>
      <w:r>
        <w:rPr>
          <w:spacing w:val="-5"/>
        </w:rPr>
        <w:t xml:space="preserve"> </w:t>
      </w:r>
      <w:r>
        <w:t>pay</w:t>
      </w:r>
      <w:r>
        <w:rPr>
          <w:spacing w:val="-4"/>
        </w:rPr>
        <w:t xml:space="preserve"> </w:t>
      </w:r>
      <w:r>
        <w:t>item:</w:t>
      </w:r>
    </w:p>
    <w:p w:rsidR="00054BF3" w:rsidRDefault="00054BF3">
      <w:pPr>
        <w:spacing w:before="2"/>
        <w:rPr>
          <w:rFonts w:ascii="Arial" w:eastAsia="Arial" w:hAnsi="Arial" w:cs="Arial"/>
        </w:rPr>
      </w:pPr>
    </w:p>
    <w:p w:rsidR="00054BF3" w:rsidRDefault="00D92E22">
      <w:pPr>
        <w:tabs>
          <w:tab w:val="left" w:pos="7760"/>
        </w:tabs>
        <w:ind w:right="118"/>
        <w:jc w:val="right"/>
        <w:rPr>
          <w:rFonts w:ascii="Arial" w:eastAsia="Arial" w:hAnsi="Arial" w:cs="Arial"/>
        </w:rPr>
      </w:pPr>
      <w:r>
        <w:rPr>
          <w:rFonts w:ascii="Arial"/>
          <w:b/>
        </w:rPr>
        <w:t>Pay</w:t>
      </w:r>
      <w:r>
        <w:rPr>
          <w:rFonts w:ascii="Arial"/>
          <w:b/>
          <w:spacing w:val="-12"/>
        </w:rPr>
        <w:t xml:space="preserve"> </w:t>
      </w:r>
      <w:r>
        <w:rPr>
          <w:rFonts w:ascii="Arial"/>
          <w:b/>
        </w:rPr>
        <w:t>Item</w:t>
      </w:r>
      <w:r>
        <w:rPr>
          <w:rFonts w:ascii="Arial"/>
          <w:b/>
        </w:rPr>
        <w:tab/>
        <w:t>Pay</w:t>
      </w:r>
      <w:r>
        <w:rPr>
          <w:rFonts w:ascii="Arial"/>
          <w:b/>
          <w:spacing w:val="-9"/>
        </w:rPr>
        <w:t xml:space="preserve"> </w:t>
      </w:r>
      <w:r>
        <w:rPr>
          <w:rFonts w:ascii="Arial"/>
          <w:b/>
        </w:rPr>
        <w:t>Unit</w:t>
      </w:r>
    </w:p>
    <w:p w:rsidR="00054BF3" w:rsidRDefault="00054BF3">
      <w:pPr>
        <w:spacing w:before="9"/>
        <w:rPr>
          <w:rFonts w:ascii="Arial" w:eastAsia="Arial" w:hAnsi="Arial" w:cs="Arial"/>
          <w:b/>
          <w:bCs/>
          <w:sz w:val="21"/>
          <w:szCs w:val="21"/>
        </w:rPr>
      </w:pPr>
    </w:p>
    <w:p w:rsidR="00054BF3" w:rsidRDefault="00CA19A1" w:rsidP="00F431B5">
      <w:pPr>
        <w:pStyle w:val="BodyText"/>
        <w:ind w:left="0" w:right="116" w:firstLine="0"/>
        <w:jc w:val="center"/>
      </w:pPr>
      <w:r>
        <w:t xml:space="preserve">            </w:t>
      </w:r>
      <w:r w:rsidR="003730DF">
        <w:t>_</w:t>
      </w:r>
      <w:proofErr w:type="spellStart"/>
      <w:r w:rsidR="00D92E22">
        <w:t>Pavt</w:t>
      </w:r>
      <w:proofErr w:type="spellEnd"/>
      <w:r w:rsidR="00D92E22">
        <w:rPr>
          <w:spacing w:val="-8"/>
        </w:rPr>
        <w:t xml:space="preserve"> </w:t>
      </w:r>
      <w:proofErr w:type="spellStart"/>
      <w:r w:rsidR="00D92E22">
        <w:t>Mrkg</w:t>
      </w:r>
      <w:proofErr w:type="spellEnd"/>
      <w:r w:rsidR="00D92E22">
        <w:t>,</w:t>
      </w:r>
      <w:r w:rsidR="00D92E22">
        <w:rPr>
          <w:spacing w:val="-8"/>
        </w:rPr>
        <w:t xml:space="preserve"> </w:t>
      </w:r>
      <w:r>
        <w:t>Methyl Methacrylate (MMA)</w:t>
      </w:r>
      <w:r w:rsidR="00D92E22">
        <w:t>,</w:t>
      </w:r>
      <w:r w:rsidR="00BD0DA3">
        <w:t xml:space="preserve"> </w:t>
      </w:r>
      <w:r>
        <w:t>Green</w:t>
      </w:r>
      <w:r w:rsidR="00D92E22">
        <w:rPr>
          <w:spacing w:val="-42"/>
        </w:rPr>
        <w:t xml:space="preserve"> </w:t>
      </w:r>
      <w:r w:rsidR="00D92E22">
        <w:t>.</w:t>
      </w:r>
      <w:r>
        <w:t>.............</w:t>
      </w:r>
      <w:r w:rsidR="003730DF">
        <w:t>..</w:t>
      </w:r>
      <w:r>
        <w:t>..</w:t>
      </w:r>
      <w:r w:rsidR="003730DF">
        <w:t>........</w:t>
      </w:r>
      <w:r w:rsidR="00176357">
        <w:t>...</w:t>
      </w:r>
      <w:r w:rsidR="00D92E22">
        <w:t>......</w:t>
      </w:r>
      <w:r w:rsidR="00F431B5">
        <w:t>....</w:t>
      </w:r>
      <w:r w:rsidR="00D92E22">
        <w:t>......</w:t>
      </w:r>
      <w:r w:rsidR="00176357">
        <w:t xml:space="preserve">Square </w:t>
      </w:r>
      <w:r w:rsidR="00F56AE4">
        <w:t>Foot</w:t>
      </w:r>
    </w:p>
    <w:p w:rsidR="00CA19A1" w:rsidRDefault="00CA19A1" w:rsidP="00CA19A1">
      <w:pPr>
        <w:pStyle w:val="BodyText"/>
        <w:ind w:left="0" w:right="116" w:firstLine="0"/>
        <w:jc w:val="center"/>
      </w:pPr>
      <w:r>
        <w:t xml:space="preserve">            _</w:t>
      </w:r>
      <w:proofErr w:type="spellStart"/>
      <w:r>
        <w:t>Pavt</w:t>
      </w:r>
      <w:proofErr w:type="spellEnd"/>
      <w:r>
        <w:rPr>
          <w:spacing w:val="-8"/>
        </w:rPr>
        <w:t xml:space="preserve"> </w:t>
      </w:r>
      <w:proofErr w:type="spellStart"/>
      <w:r>
        <w:t>Mrkg</w:t>
      </w:r>
      <w:proofErr w:type="spellEnd"/>
      <w:r>
        <w:t>,</w:t>
      </w:r>
      <w:r>
        <w:rPr>
          <w:spacing w:val="-8"/>
        </w:rPr>
        <w:t xml:space="preserve"> </w:t>
      </w:r>
      <w:r>
        <w:t>Methyl Methacrylate (MMA), Red…</w:t>
      </w:r>
      <w:r>
        <w:rPr>
          <w:spacing w:val="-42"/>
        </w:rPr>
        <w:t xml:space="preserve"> </w:t>
      </w:r>
      <w:r>
        <w:t>.............................................</w:t>
      </w:r>
      <w:r w:rsidR="00176357">
        <w:t xml:space="preserve">Square </w:t>
      </w:r>
      <w:r w:rsidR="00F56AE4">
        <w:t>Foot</w:t>
      </w:r>
    </w:p>
    <w:p w:rsidR="00054BF3" w:rsidRDefault="00054BF3">
      <w:pPr>
        <w:rPr>
          <w:rFonts w:ascii="Arial" w:eastAsia="Arial" w:hAnsi="Arial" w:cs="Arial"/>
        </w:rPr>
      </w:pPr>
    </w:p>
    <w:p w:rsidR="00054BF3" w:rsidRPr="00176357" w:rsidRDefault="003730DF" w:rsidP="00176357">
      <w:pPr>
        <w:pStyle w:val="BodyText"/>
        <w:ind w:right="118" w:firstLine="0"/>
        <w:jc w:val="both"/>
        <w:rPr>
          <w:rFonts w:cs="Arial"/>
        </w:rPr>
      </w:pPr>
      <w:r>
        <w:rPr>
          <w:b/>
        </w:rPr>
        <w:t>_</w:t>
      </w:r>
      <w:proofErr w:type="spellStart"/>
      <w:r w:rsidR="00D92E22">
        <w:rPr>
          <w:b/>
        </w:rPr>
        <w:t>Pavt</w:t>
      </w:r>
      <w:proofErr w:type="spellEnd"/>
      <w:r w:rsidR="00D92E22">
        <w:rPr>
          <w:b/>
          <w:spacing w:val="2"/>
        </w:rPr>
        <w:t xml:space="preserve"> </w:t>
      </w:r>
      <w:proofErr w:type="spellStart"/>
      <w:r w:rsidR="00D92E22">
        <w:rPr>
          <w:b/>
        </w:rPr>
        <w:t>Mrkg</w:t>
      </w:r>
      <w:proofErr w:type="spellEnd"/>
      <w:r w:rsidR="00D92E22">
        <w:rPr>
          <w:b/>
        </w:rPr>
        <w:t>,</w:t>
      </w:r>
      <w:r w:rsidR="00D92E22">
        <w:rPr>
          <w:b/>
          <w:spacing w:val="2"/>
        </w:rPr>
        <w:t xml:space="preserve"> </w:t>
      </w:r>
      <w:r w:rsidR="00CA19A1">
        <w:rPr>
          <w:b/>
          <w:spacing w:val="-1"/>
        </w:rPr>
        <w:t>Methyl Methacrylate (MMA)</w:t>
      </w:r>
      <w:r w:rsidR="00F431B5">
        <w:rPr>
          <w:b/>
          <w:spacing w:val="-1"/>
        </w:rPr>
        <w:t>, (</w:t>
      </w:r>
      <w:r w:rsidR="00CA19A1">
        <w:rPr>
          <w:b/>
          <w:spacing w:val="-1"/>
        </w:rPr>
        <w:t>c</w:t>
      </w:r>
      <w:r w:rsidR="00F431B5">
        <w:rPr>
          <w:b/>
          <w:spacing w:val="-1"/>
        </w:rPr>
        <w:t>ol</w:t>
      </w:r>
      <w:r w:rsidR="00CA19A1">
        <w:rPr>
          <w:b/>
          <w:spacing w:val="-1"/>
        </w:rPr>
        <w:t>or</w:t>
      </w:r>
      <w:r w:rsidR="00F431B5">
        <w:rPr>
          <w:b/>
          <w:spacing w:val="-1"/>
        </w:rPr>
        <w:t>)</w:t>
      </w:r>
      <w:r w:rsidR="00D92E22">
        <w:rPr>
          <w:b/>
          <w:spacing w:val="2"/>
        </w:rPr>
        <w:t xml:space="preserve"> </w:t>
      </w:r>
      <w:r w:rsidR="00F431B5">
        <w:t xml:space="preserve">will be measured and paid for at the contract unit price per each </w:t>
      </w:r>
      <w:r w:rsidR="00176357">
        <w:t xml:space="preserve">square foot </w:t>
      </w:r>
      <w:r w:rsidR="00F431B5">
        <w:t xml:space="preserve">installed. </w:t>
      </w:r>
      <w:r w:rsidR="00F431B5">
        <w:rPr>
          <w:color w:val="231F20"/>
        </w:rPr>
        <w:t xml:space="preserve">The </w:t>
      </w:r>
      <w:r w:rsidR="00F431B5">
        <w:rPr>
          <w:color w:val="231F20"/>
          <w:spacing w:val="-1"/>
        </w:rPr>
        <w:t>unit</w:t>
      </w:r>
      <w:r w:rsidR="00F431B5">
        <w:rPr>
          <w:color w:val="231F20"/>
          <w:spacing w:val="2"/>
        </w:rPr>
        <w:t xml:space="preserve"> </w:t>
      </w:r>
      <w:r w:rsidR="00F431B5">
        <w:rPr>
          <w:color w:val="231F20"/>
          <w:spacing w:val="-1"/>
        </w:rPr>
        <w:t>price</w:t>
      </w:r>
      <w:r w:rsidR="00F431B5">
        <w:rPr>
          <w:color w:val="231F20"/>
        </w:rPr>
        <w:t xml:space="preserve"> </w:t>
      </w:r>
      <w:r w:rsidR="00F431B5">
        <w:rPr>
          <w:color w:val="231F20"/>
          <w:spacing w:val="-1"/>
        </w:rPr>
        <w:t>shall</w:t>
      </w:r>
      <w:r w:rsidR="00F431B5">
        <w:rPr>
          <w:color w:val="231F20"/>
        </w:rPr>
        <w:t xml:space="preserve"> </w:t>
      </w:r>
      <w:r w:rsidR="00F431B5">
        <w:rPr>
          <w:color w:val="231F20"/>
          <w:spacing w:val="-1"/>
        </w:rPr>
        <w:t>be</w:t>
      </w:r>
      <w:r w:rsidR="00F431B5">
        <w:rPr>
          <w:color w:val="231F20"/>
        </w:rPr>
        <w:t xml:space="preserve"> </w:t>
      </w:r>
      <w:r w:rsidR="00F431B5">
        <w:rPr>
          <w:color w:val="231F20"/>
          <w:spacing w:val="-1"/>
        </w:rPr>
        <w:t>payment</w:t>
      </w:r>
      <w:r w:rsidR="00F431B5">
        <w:rPr>
          <w:color w:val="231F20"/>
          <w:spacing w:val="2"/>
        </w:rPr>
        <w:t xml:space="preserve"> </w:t>
      </w:r>
      <w:r w:rsidR="00F431B5">
        <w:rPr>
          <w:color w:val="231F20"/>
          <w:spacing w:val="-1"/>
        </w:rPr>
        <w:t>in</w:t>
      </w:r>
      <w:r w:rsidR="00F431B5">
        <w:rPr>
          <w:color w:val="231F20"/>
        </w:rPr>
        <w:t xml:space="preserve"> full for</w:t>
      </w:r>
      <w:r w:rsidR="00F431B5">
        <w:rPr>
          <w:color w:val="231F20"/>
          <w:spacing w:val="2"/>
        </w:rPr>
        <w:t xml:space="preserve"> </w:t>
      </w:r>
      <w:r w:rsidR="00F431B5">
        <w:rPr>
          <w:color w:val="231F20"/>
          <w:spacing w:val="-1"/>
        </w:rPr>
        <w:t>furnishing</w:t>
      </w:r>
      <w:r w:rsidR="00F431B5">
        <w:rPr>
          <w:color w:val="231F20"/>
          <w:spacing w:val="3"/>
        </w:rPr>
        <w:t xml:space="preserve"> </w:t>
      </w:r>
      <w:r w:rsidR="00F431B5">
        <w:rPr>
          <w:color w:val="231F20"/>
          <w:spacing w:val="-1"/>
        </w:rPr>
        <w:t>all</w:t>
      </w:r>
      <w:r w:rsidR="00F431B5">
        <w:rPr>
          <w:color w:val="231F20"/>
        </w:rPr>
        <w:t xml:space="preserve"> </w:t>
      </w:r>
      <w:r w:rsidR="00F431B5">
        <w:rPr>
          <w:color w:val="231F20"/>
          <w:spacing w:val="-1"/>
        </w:rPr>
        <w:t>labor,</w:t>
      </w:r>
      <w:r w:rsidR="00F431B5">
        <w:rPr>
          <w:color w:val="231F20"/>
          <w:spacing w:val="2"/>
        </w:rPr>
        <w:t xml:space="preserve"> </w:t>
      </w:r>
      <w:r w:rsidR="00F431B5">
        <w:rPr>
          <w:color w:val="231F20"/>
          <w:spacing w:val="-1"/>
        </w:rPr>
        <w:t>equipment</w:t>
      </w:r>
      <w:r w:rsidR="00F431B5">
        <w:rPr>
          <w:color w:val="231F20"/>
          <w:spacing w:val="2"/>
        </w:rPr>
        <w:t xml:space="preserve"> </w:t>
      </w:r>
      <w:r w:rsidR="00F431B5">
        <w:rPr>
          <w:color w:val="231F20"/>
          <w:spacing w:val="-1"/>
        </w:rPr>
        <w:t>and</w:t>
      </w:r>
      <w:r w:rsidR="00F431B5">
        <w:rPr>
          <w:color w:val="231F20"/>
        </w:rPr>
        <w:t xml:space="preserve"> </w:t>
      </w:r>
      <w:r w:rsidR="00F431B5">
        <w:rPr>
          <w:color w:val="231F20"/>
          <w:spacing w:val="-1"/>
        </w:rPr>
        <w:t>material</w:t>
      </w:r>
      <w:r w:rsidR="00F431B5">
        <w:rPr>
          <w:color w:val="231F20"/>
        </w:rPr>
        <w:t xml:space="preserve"> to</w:t>
      </w:r>
      <w:r w:rsidR="00F431B5">
        <w:rPr>
          <w:color w:val="231F20"/>
          <w:spacing w:val="1"/>
        </w:rPr>
        <w:t xml:space="preserve"> </w:t>
      </w:r>
      <w:r w:rsidR="00F431B5">
        <w:rPr>
          <w:color w:val="231F20"/>
          <w:spacing w:val="-1"/>
        </w:rPr>
        <w:t>furnish</w:t>
      </w:r>
      <w:r w:rsidR="00F431B5">
        <w:rPr>
          <w:color w:val="231F20"/>
          <w:spacing w:val="88"/>
        </w:rPr>
        <w:t xml:space="preserve"> </w:t>
      </w:r>
      <w:r w:rsidR="00F431B5">
        <w:rPr>
          <w:color w:val="231F20"/>
          <w:spacing w:val="-1"/>
        </w:rPr>
        <w:t>and</w:t>
      </w:r>
      <w:r w:rsidR="00F431B5">
        <w:rPr>
          <w:color w:val="231F20"/>
          <w:spacing w:val="1"/>
        </w:rPr>
        <w:t xml:space="preserve"> </w:t>
      </w:r>
      <w:r w:rsidR="00F431B5">
        <w:rPr>
          <w:color w:val="231F20"/>
          <w:spacing w:val="-1"/>
        </w:rPr>
        <w:t>install</w:t>
      </w:r>
      <w:r w:rsidR="00F431B5">
        <w:rPr>
          <w:color w:val="231F20"/>
          <w:spacing w:val="1"/>
        </w:rPr>
        <w:t xml:space="preserve"> </w:t>
      </w:r>
      <w:r w:rsidR="00F431B5">
        <w:rPr>
          <w:color w:val="231F20"/>
          <w:spacing w:val="-1"/>
        </w:rPr>
        <w:t>pavement marking</w:t>
      </w:r>
      <w:r w:rsidR="00176357">
        <w:rPr>
          <w:color w:val="231F20"/>
          <w:spacing w:val="-1"/>
        </w:rPr>
        <w:t>s</w:t>
      </w:r>
      <w:r w:rsidR="00F431B5">
        <w:rPr>
          <w:color w:val="231F20"/>
          <w:spacing w:val="-1"/>
        </w:rPr>
        <w:t xml:space="preserve"> as</w:t>
      </w:r>
      <w:r w:rsidR="00F431B5">
        <w:rPr>
          <w:color w:val="231F20"/>
          <w:spacing w:val="1"/>
        </w:rPr>
        <w:t xml:space="preserve"> </w:t>
      </w:r>
      <w:r w:rsidR="00F431B5">
        <w:rPr>
          <w:color w:val="231F20"/>
          <w:spacing w:val="-2"/>
        </w:rPr>
        <w:t>shown</w:t>
      </w:r>
      <w:r w:rsidR="00F431B5">
        <w:rPr>
          <w:color w:val="231F20"/>
          <w:spacing w:val="1"/>
        </w:rPr>
        <w:t xml:space="preserve"> </w:t>
      </w:r>
      <w:r w:rsidR="00F431B5">
        <w:rPr>
          <w:color w:val="231F20"/>
          <w:spacing w:val="-1"/>
        </w:rPr>
        <w:t>on</w:t>
      </w:r>
      <w:r w:rsidR="00F431B5">
        <w:rPr>
          <w:color w:val="231F20"/>
          <w:spacing w:val="1"/>
        </w:rPr>
        <w:t xml:space="preserve"> </w:t>
      </w:r>
      <w:r w:rsidR="00F431B5">
        <w:rPr>
          <w:color w:val="231F20"/>
        </w:rPr>
        <w:t>the</w:t>
      </w:r>
      <w:r w:rsidR="00F431B5">
        <w:rPr>
          <w:color w:val="231F20"/>
          <w:spacing w:val="1"/>
        </w:rPr>
        <w:t xml:space="preserve"> </w:t>
      </w:r>
      <w:r w:rsidR="00F431B5">
        <w:rPr>
          <w:color w:val="231F20"/>
          <w:spacing w:val="-1"/>
        </w:rPr>
        <w:t>plans</w:t>
      </w:r>
      <w:r w:rsidR="00F431B5">
        <w:rPr>
          <w:color w:val="231F20"/>
          <w:spacing w:val="1"/>
        </w:rPr>
        <w:t xml:space="preserve"> </w:t>
      </w:r>
      <w:r w:rsidR="00F431B5">
        <w:rPr>
          <w:color w:val="231F20"/>
          <w:spacing w:val="-1"/>
        </w:rPr>
        <w:t>or</w:t>
      </w:r>
      <w:r w:rsidR="00F431B5">
        <w:rPr>
          <w:color w:val="231F20"/>
          <w:spacing w:val="2"/>
        </w:rPr>
        <w:t xml:space="preserve"> </w:t>
      </w:r>
      <w:r w:rsidR="00F431B5">
        <w:rPr>
          <w:color w:val="231F20"/>
          <w:spacing w:val="-1"/>
        </w:rPr>
        <w:t>as</w:t>
      </w:r>
      <w:r w:rsidR="00F431B5">
        <w:rPr>
          <w:color w:val="231F20"/>
          <w:spacing w:val="1"/>
        </w:rPr>
        <w:t xml:space="preserve"> </w:t>
      </w:r>
      <w:r w:rsidR="00F431B5">
        <w:rPr>
          <w:color w:val="231F20"/>
          <w:spacing w:val="-1"/>
        </w:rPr>
        <w:t>directed</w:t>
      </w:r>
      <w:r w:rsidR="00F431B5">
        <w:rPr>
          <w:color w:val="231F20"/>
          <w:spacing w:val="1"/>
        </w:rPr>
        <w:t xml:space="preserve"> </w:t>
      </w:r>
      <w:r w:rsidR="00F431B5">
        <w:rPr>
          <w:color w:val="231F20"/>
          <w:spacing w:val="-1"/>
        </w:rPr>
        <w:t xml:space="preserve">by </w:t>
      </w:r>
      <w:r w:rsidR="00F431B5">
        <w:rPr>
          <w:color w:val="231F20"/>
        </w:rPr>
        <w:t>the</w:t>
      </w:r>
      <w:r w:rsidR="00F431B5">
        <w:rPr>
          <w:color w:val="231F20"/>
          <w:spacing w:val="1"/>
        </w:rPr>
        <w:t xml:space="preserve"> </w:t>
      </w:r>
      <w:r w:rsidR="00F431B5">
        <w:rPr>
          <w:color w:val="231F20"/>
          <w:spacing w:val="-1"/>
        </w:rPr>
        <w:t>Engineer.</w:t>
      </w:r>
    </w:p>
    <w:sectPr w:rsidR="00054BF3" w:rsidRPr="00176357">
      <w:type w:val="continuous"/>
      <w:pgSz w:w="12240" w:h="15840"/>
      <w:pgMar w:top="6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1067"/>
    <w:multiLevelType w:val="hybridMultilevel"/>
    <w:tmpl w:val="CD9434A6"/>
    <w:lvl w:ilvl="0" w:tplc="3B882C0E">
      <w:start w:val="1"/>
      <w:numFmt w:val="lowerLetter"/>
      <w:lvlText w:val="%1."/>
      <w:lvlJc w:val="left"/>
      <w:pPr>
        <w:ind w:left="119" w:hanging="360"/>
        <w:jc w:val="left"/>
      </w:pPr>
      <w:rPr>
        <w:rFonts w:ascii="Arial" w:eastAsia="Arial" w:hAnsi="Arial" w:hint="default"/>
        <w:b/>
        <w:bCs/>
        <w:w w:val="99"/>
        <w:sz w:val="22"/>
        <w:szCs w:val="22"/>
      </w:rPr>
    </w:lvl>
    <w:lvl w:ilvl="1" w:tplc="7AD82296">
      <w:start w:val="1"/>
      <w:numFmt w:val="bullet"/>
      <w:lvlText w:val="•"/>
      <w:lvlJc w:val="left"/>
      <w:pPr>
        <w:ind w:left="1067" w:hanging="360"/>
      </w:pPr>
      <w:rPr>
        <w:rFonts w:hint="default"/>
      </w:rPr>
    </w:lvl>
    <w:lvl w:ilvl="2" w:tplc="1946E06E">
      <w:start w:val="1"/>
      <w:numFmt w:val="bullet"/>
      <w:lvlText w:val="•"/>
      <w:lvlJc w:val="left"/>
      <w:pPr>
        <w:ind w:left="2015" w:hanging="360"/>
      </w:pPr>
      <w:rPr>
        <w:rFonts w:hint="default"/>
      </w:rPr>
    </w:lvl>
    <w:lvl w:ilvl="3" w:tplc="6C961D10">
      <w:start w:val="1"/>
      <w:numFmt w:val="bullet"/>
      <w:lvlText w:val="•"/>
      <w:lvlJc w:val="left"/>
      <w:pPr>
        <w:ind w:left="2963" w:hanging="360"/>
      </w:pPr>
      <w:rPr>
        <w:rFonts w:hint="default"/>
      </w:rPr>
    </w:lvl>
    <w:lvl w:ilvl="4" w:tplc="44C2153E">
      <w:start w:val="1"/>
      <w:numFmt w:val="bullet"/>
      <w:lvlText w:val="•"/>
      <w:lvlJc w:val="left"/>
      <w:pPr>
        <w:ind w:left="3911" w:hanging="360"/>
      </w:pPr>
      <w:rPr>
        <w:rFonts w:hint="default"/>
      </w:rPr>
    </w:lvl>
    <w:lvl w:ilvl="5" w:tplc="70561FA6">
      <w:start w:val="1"/>
      <w:numFmt w:val="bullet"/>
      <w:lvlText w:val="•"/>
      <w:lvlJc w:val="left"/>
      <w:pPr>
        <w:ind w:left="4859" w:hanging="360"/>
      </w:pPr>
      <w:rPr>
        <w:rFonts w:hint="default"/>
      </w:rPr>
    </w:lvl>
    <w:lvl w:ilvl="6" w:tplc="646ACFF2">
      <w:start w:val="1"/>
      <w:numFmt w:val="bullet"/>
      <w:lvlText w:val="•"/>
      <w:lvlJc w:val="left"/>
      <w:pPr>
        <w:ind w:left="5807" w:hanging="360"/>
      </w:pPr>
      <w:rPr>
        <w:rFonts w:hint="default"/>
      </w:rPr>
    </w:lvl>
    <w:lvl w:ilvl="7" w:tplc="FF8AF874">
      <w:start w:val="1"/>
      <w:numFmt w:val="bullet"/>
      <w:lvlText w:val="•"/>
      <w:lvlJc w:val="left"/>
      <w:pPr>
        <w:ind w:left="6755" w:hanging="360"/>
      </w:pPr>
      <w:rPr>
        <w:rFonts w:hint="default"/>
      </w:rPr>
    </w:lvl>
    <w:lvl w:ilvl="8" w:tplc="36ACE49A">
      <w:start w:val="1"/>
      <w:numFmt w:val="bullet"/>
      <w:lvlText w:val="•"/>
      <w:lvlJc w:val="left"/>
      <w:pPr>
        <w:ind w:left="770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F3"/>
    <w:rsid w:val="00007EFA"/>
    <w:rsid w:val="00054BF3"/>
    <w:rsid w:val="0014573D"/>
    <w:rsid w:val="00176357"/>
    <w:rsid w:val="00184751"/>
    <w:rsid w:val="001C63EC"/>
    <w:rsid w:val="002F4BCA"/>
    <w:rsid w:val="003730DF"/>
    <w:rsid w:val="0049671B"/>
    <w:rsid w:val="005835A5"/>
    <w:rsid w:val="00AA512E"/>
    <w:rsid w:val="00B91C89"/>
    <w:rsid w:val="00BD0DA3"/>
    <w:rsid w:val="00CA19A1"/>
    <w:rsid w:val="00D92E22"/>
    <w:rsid w:val="00F431B5"/>
    <w:rsid w:val="00F5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BF8B6-6724-47DC-AE51-C4FEBEFE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firstLine="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4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MICHIGAN</vt:lpstr>
    </vt:vector>
  </TitlesOfParts>
  <Company>SmithGroupJJR</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PAWELECD</dc:creator>
  <cp:lastModifiedBy>Emily McKinnon</cp:lastModifiedBy>
  <cp:revision>9</cp:revision>
  <cp:lastPrinted>2017-01-26T22:00:00Z</cp:lastPrinted>
  <dcterms:created xsi:type="dcterms:W3CDTF">2017-01-26T21:28:00Z</dcterms:created>
  <dcterms:modified xsi:type="dcterms:W3CDTF">2017-01-31T02:09:00Z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LastSaved">
    <vt:filetime>2017-01-26T00:00:00Z</vt:filetime>
  </property>
</Properties>
</file>