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6C64AEB4" w:rsidR="002903CD" w:rsidRPr="007C02FC" w:rsidRDefault="001F60ED">
      <w:pPr>
        <w:rPr>
          <w:color w:val="FF0000"/>
        </w:rPr>
      </w:pPr>
      <w:r>
        <w:t>May 6, 2026</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4048ABFC"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1F60ED">
        <w:rPr>
          <w:color w:val="000000" w:themeColor="text1"/>
        </w:rPr>
        <w:t>6</w:t>
      </w:r>
      <w:r w:rsidR="004F584D">
        <w:rPr>
          <w:color w:val="000000" w:themeColor="text1"/>
        </w:rPr>
        <w:t>-088</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1F60ED">
        <w:rPr>
          <w:color w:val="000000" w:themeColor="text1"/>
        </w:rPr>
        <w:t xml:space="preserve">SC Development </w:t>
      </w:r>
      <w:r w:rsidR="00093E1F" w:rsidRPr="002903CD">
        <w:rPr>
          <w:color w:val="000000" w:themeColor="text1"/>
        </w:rPr>
        <w:t>re</w:t>
      </w:r>
      <w:r w:rsidR="00D94EB2" w:rsidRPr="002903CD">
        <w:rPr>
          <w:color w:val="000000" w:themeColor="text1"/>
        </w:rPr>
        <w:t>quest to vacate</w:t>
      </w:r>
      <w:r w:rsidR="001F60ED">
        <w:rPr>
          <w:color w:val="000000" w:themeColor="text1"/>
        </w:rPr>
        <w:t xml:space="preserve"> east-west and north-south alleys bounded by W. Eight Mile Road, Telegraph Road, Shiawassee Ave., and Grandview Ave</w:t>
      </w:r>
      <w:r w:rsidR="000C0B38">
        <w:rPr>
          <w:color w:val="000000" w:themeColor="text1"/>
        </w:rPr>
        <w:t>.</w:t>
      </w:r>
    </w:p>
    <w:bookmarkEnd w:id="0"/>
    <w:p w14:paraId="1A7E6D59" w14:textId="77777777" w:rsidR="005C7D73" w:rsidRPr="00E11E4A" w:rsidRDefault="005C7D73" w:rsidP="000A0241">
      <w:pPr>
        <w:pStyle w:val="BodyTextIndent"/>
        <w:rPr>
          <w:color w:val="000000" w:themeColor="text1"/>
        </w:rPr>
      </w:pPr>
    </w:p>
    <w:p w14:paraId="6CF477D4" w14:textId="32F92EE6" w:rsidR="002903CD" w:rsidRDefault="001F60ED">
      <w:pPr>
        <w:pStyle w:val="BodyText"/>
        <w:rPr>
          <w:color w:val="000000" w:themeColor="text1"/>
        </w:rPr>
      </w:pPr>
      <w:r w:rsidRPr="001F60ED">
        <w:rPr>
          <w:color w:val="000000" w:themeColor="text1"/>
        </w:rPr>
        <w:t>Petition No. x2026</w:t>
      </w:r>
      <w:r w:rsidR="004F584D">
        <w:rPr>
          <w:color w:val="000000" w:themeColor="text1"/>
        </w:rPr>
        <w:t>-088</w:t>
      </w:r>
      <w:r w:rsidRPr="001F60ED">
        <w:rPr>
          <w:color w:val="000000" w:themeColor="text1"/>
        </w:rPr>
        <w:t xml:space="preserve"> – SC Development request to vacate </w:t>
      </w:r>
      <w:r>
        <w:rPr>
          <w:color w:val="000000" w:themeColor="text1"/>
        </w:rPr>
        <w:t xml:space="preserve">the </w:t>
      </w:r>
      <w:r w:rsidRPr="001F60ED">
        <w:rPr>
          <w:color w:val="000000" w:themeColor="text1"/>
        </w:rPr>
        <w:t>east-west</w:t>
      </w:r>
      <w:r>
        <w:rPr>
          <w:color w:val="000000" w:themeColor="text1"/>
        </w:rPr>
        <w:t xml:space="preserve"> alleys, varying widths</w:t>
      </w:r>
      <w:r w:rsidRPr="001F60ED">
        <w:rPr>
          <w:color w:val="000000" w:themeColor="text1"/>
        </w:rPr>
        <w:t xml:space="preserve"> and </w:t>
      </w:r>
      <w:r>
        <w:rPr>
          <w:color w:val="000000" w:themeColor="text1"/>
        </w:rPr>
        <w:t xml:space="preserve">the </w:t>
      </w:r>
      <w:r w:rsidRPr="001F60ED">
        <w:rPr>
          <w:color w:val="000000" w:themeColor="text1"/>
        </w:rPr>
        <w:t>north-south alley</w:t>
      </w:r>
      <w:r>
        <w:rPr>
          <w:color w:val="000000" w:themeColor="text1"/>
        </w:rPr>
        <w:t>, 26 ft. wide</w:t>
      </w:r>
      <w:r w:rsidRPr="001F60ED">
        <w:rPr>
          <w:color w:val="000000" w:themeColor="text1"/>
        </w:rPr>
        <w:t xml:space="preserve"> bounded by W. Eight Mile Road,</w:t>
      </w:r>
      <w:r>
        <w:rPr>
          <w:color w:val="000000" w:themeColor="text1"/>
        </w:rPr>
        <w:t xml:space="preserve"> 204 ft.</w:t>
      </w:r>
      <w:r w:rsidRPr="001F60ED">
        <w:rPr>
          <w:color w:val="000000" w:themeColor="text1"/>
        </w:rPr>
        <w:t xml:space="preserve"> Telegraph Road</w:t>
      </w:r>
      <w:r>
        <w:rPr>
          <w:color w:val="000000" w:themeColor="text1"/>
        </w:rPr>
        <w:t xml:space="preserve"> 204 ft.</w:t>
      </w:r>
      <w:r w:rsidRPr="001F60ED">
        <w:rPr>
          <w:color w:val="000000" w:themeColor="text1"/>
        </w:rPr>
        <w:t>, Shiawassee Ave.,</w:t>
      </w:r>
      <w:r>
        <w:rPr>
          <w:color w:val="000000" w:themeColor="text1"/>
        </w:rPr>
        <w:t xml:space="preserve"> 66 ft. wide</w:t>
      </w:r>
      <w:r w:rsidRPr="001F60ED">
        <w:rPr>
          <w:color w:val="000000" w:themeColor="text1"/>
        </w:rPr>
        <w:t xml:space="preserve"> and Grandview Ave</w:t>
      </w:r>
      <w:r w:rsidR="000C0B38">
        <w:rPr>
          <w:color w:val="000000" w:themeColor="text1"/>
        </w:rPr>
        <w:t>.</w:t>
      </w:r>
      <w:r>
        <w:rPr>
          <w:color w:val="000000" w:themeColor="text1"/>
        </w:rPr>
        <w:t xml:space="preserve">, 66 ft. wide. </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3527CE10" w:rsidR="000C0B38" w:rsidRDefault="00565B32" w:rsidP="008D4406">
      <w:pPr>
        <w:pStyle w:val="BodyText"/>
        <w:rPr>
          <w:color w:val="000000" w:themeColor="text1"/>
        </w:rPr>
      </w:pPr>
      <w:proofErr w:type="gramStart"/>
      <w:r w:rsidRPr="00E11E4A">
        <w:rPr>
          <w:b/>
          <w:color w:val="000000" w:themeColor="text1"/>
        </w:rPr>
        <w:t>RESOLVED,</w:t>
      </w:r>
      <w:r w:rsidR="001F60ED">
        <w:rPr>
          <w:b/>
          <w:color w:val="000000" w:themeColor="text1"/>
        </w:rPr>
        <w:t xml:space="preserve"> </w:t>
      </w:r>
      <w:r w:rsidR="00AA182B" w:rsidRPr="00E11E4A">
        <w:rPr>
          <w:color w:val="000000" w:themeColor="text1"/>
        </w:rPr>
        <w:t xml:space="preserve"> </w:t>
      </w:r>
      <w:r w:rsidR="001F60ED" w:rsidRPr="001F60ED">
        <w:rPr>
          <w:color w:val="000000" w:themeColor="text1"/>
        </w:rPr>
        <w:t>east</w:t>
      </w:r>
      <w:proofErr w:type="gramEnd"/>
      <w:r w:rsidR="001F60ED" w:rsidRPr="001F60ED">
        <w:rPr>
          <w:color w:val="000000" w:themeColor="text1"/>
        </w:rPr>
        <w:t>-west alleys, varying widths and the north-south alley, 26 ft. wide bounded by W. Eight Mile Road, 204 ft. Telegraph Road 204 ft., Shiawassee Ave., 66 ft. wide and Grandview Ave., 66 ft. wide</w:t>
      </w:r>
      <w:r w:rsidR="001F60ED">
        <w:rPr>
          <w:color w:val="000000" w:themeColor="text1"/>
        </w:rPr>
        <w:t xml:space="preserve"> </w:t>
      </w:r>
      <w:r w:rsidR="00D66B8B" w:rsidRPr="00E11E4A">
        <w:rPr>
          <w:color w:val="000000" w:themeColor="text1"/>
        </w:rPr>
        <w:t xml:space="preserve">further described as land in the City of Detroit, Wayne County, Michigan being: </w:t>
      </w:r>
    </w:p>
    <w:p w14:paraId="6152A390" w14:textId="77777777" w:rsidR="000C0B38" w:rsidRDefault="000C0B38" w:rsidP="008D4406">
      <w:pPr>
        <w:pStyle w:val="BodyText"/>
        <w:rPr>
          <w:color w:val="000000" w:themeColor="text1"/>
        </w:rPr>
      </w:pPr>
    </w:p>
    <w:p w14:paraId="2EF2CE78" w14:textId="41FC81DF" w:rsidR="0025635E" w:rsidRDefault="001F60ED" w:rsidP="004B316E">
      <w:pPr>
        <w:pStyle w:val="BodyText"/>
        <w:numPr>
          <w:ilvl w:val="0"/>
          <w:numId w:val="18"/>
        </w:numPr>
        <w:rPr>
          <w:color w:val="000000" w:themeColor="text1"/>
        </w:rPr>
      </w:pPr>
      <w:r w:rsidRPr="001F60ED">
        <w:rPr>
          <w:color w:val="000000" w:themeColor="text1"/>
        </w:rPr>
        <w:t xml:space="preserve">East-west public alley, 50 ft. wide lying southerly of and adjacent to lots </w:t>
      </w:r>
      <w:proofErr w:type="gramStart"/>
      <w:r w:rsidRPr="001F60ED">
        <w:rPr>
          <w:color w:val="000000" w:themeColor="text1"/>
        </w:rPr>
        <w:t>11  through</w:t>
      </w:r>
      <w:proofErr w:type="gramEnd"/>
      <w:r w:rsidRPr="001F60ED">
        <w:rPr>
          <w:color w:val="000000" w:themeColor="text1"/>
        </w:rPr>
        <w:t xml:space="preserve"> 13 and lying northerly of and adjacent to lot 13 </w:t>
      </w:r>
      <w:r>
        <w:rPr>
          <w:color w:val="000000" w:themeColor="text1"/>
        </w:rPr>
        <w:t xml:space="preserve">of “Banks Subdivision” as recorded in Liber 82 Page 42 and </w:t>
      </w:r>
      <w:r w:rsidR="00085006">
        <w:rPr>
          <w:color w:val="000000" w:themeColor="text1"/>
        </w:rPr>
        <w:t xml:space="preserve">“Holtzman &amp; Silverman Subdivision No. 8” as recorded in Liber 78 Pages 76 and 77 of Plats Wayne County Records. </w:t>
      </w:r>
    </w:p>
    <w:p w14:paraId="2788D3BF" w14:textId="2B67CDFA" w:rsidR="001F60ED" w:rsidRPr="001F60ED" w:rsidRDefault="00085006" w:rsidP="004B316E">
      <w:pPr>
        <w:pStyle w:val="BodyText"/>
        <w:numPr>
          <w:ilvl w:val="0"/>
          <w:numId w:val="18"/>
        </w:numPr>
        <w:rPr>
          <w:color w:val="000000" w:themeColor="text1"/>
        </w:rPr>
      </w:pPr>
      <w:r>
        <w:rPr>
          <w:color w:val="000000" w:themeColor="text1"/>
        </w:rPr>
        <w:t xml:space="preserve">East-west public alley, 26 ft. wide lying southerly of and adjacent to lots 1, 9, 1, 7, 1, 5, 1, and 3. Lying northerly of and adjacent to lots 14 and 15 of “Banks Subdidvision” as recorded in Liber 82 Pages 42 and 43 of plats Wayne County Records. </w:t>
      </w:r>
    </w:p>
    <w:p w14:paraId="19D09BFD" w14:textId="37BD931C" w:rsidR="00085006" w:rsidRDefault="00085006" w:rsidP="000C0B38">
      <w:pPr>
        <w:pStyle w:val="BodyText"/>
        <w:numPr>
          <w:ilvl w:val="0"/>
          <w:numId w:val="18"/>
        </w:numPr>
        <w:rPr>
          <w:color w:val="000000" w:themeColor="text1"/>
        </w:rPr>
      </w:pPr>
      <w:r>
        <w:rPr>
          <w:color w:val="000000" w:themeColor="text1"/>
        </w:rPr>
        <w:t xml:space="preserve">North-south public alley, 26 ft. wide lying westerly of and adjacent to lot 15 and lying easterly of and adjacent to lot 16 of “Banks Subdivision” as recorded in Liber 82 Pages 42 and 43 of Plats Wayne County Records. </w:t>
      </w:r>
    </w:p>
    <w:p w14:paraId="7803E25B" w14:textId="77777777" w:rsidR="000C0B38" w:rsidRDefault="000C0B38" w:rsidP="000C0B38">
      <w:pPr>
        <w:pStyle w:val="BodyText"/>
        <w:ind w:left="720"/>
        <w:rPr>
          <w:color w:val="000000" w:themeColor="text1"/>
        </w:rPr>
      </w:pP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t>
      </w:r>
      <w:r w:rsidR="00F56EC2">
        <w:lastRenderedPageBreak/>
        <w:t xml:space="preserve">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lastRenderedPageBreak/>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3B38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F276" w14:textId="77777777" w:rsidR="00841468" w:rsidRDefault="00841468" w:rsidP="00383B31">
      <w:r>
        <w:separator/>
      </w:r>
    </w:p>
  </w:endnote>
  <w:endnote w:type="continuationSeparator" w:id="0">
    <w:p w14:paraId="33665E88" w14:textId="77777777" w:rsidR="00841468" w:rsidRDefault="00841468"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8909" w14:textId="77777777" w:rsidR="00841468" w:rsidRDefault="00841468" w:rsidP="00383B31">
      <w:r>
        <w:separator/>
      </w:r>
    </w:p>
  </w:footnote>
  <w:footnote w:type="continuationSeparator" w:id="0">
    <w:p w14:paraId="1B0021F1" w14:textId="77777777" w:rsidR="00841468" w:rsidRDefault="00841468"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85006"/>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0ED"/>
    <w:rsid w:val="001F6E04"/>
    <w:rsid w:val="00205971"/>
    <w:rsid w:val="00214D53"/>
    <w:rsid w:val="002204EE"/>
    <w:rsid w:val="00222118"/>
    <w:rsid w:val="0023445E"/>
    <w:rsid w:val="002450F1"/>
    <w:rsid w:val="0025635E"/>
    <w:rsid w:val="00260F5B"/>
    <w:rsid w:val="0026614B"/>
    <w:rsid w:val="002703BE"/>
    <w:rsid w:val="002840A0"/>
    <w:rsid w:val="002903CD"/>
    <w:rsid w:val="002926C2"/>
    <w:rsid w:val="00292DB8"/>
    <w:rsid w:val="00295AA6"/>
    <w:rsid w:val="00296533"/>
    <w:rsid w:val="002965C5"/>
    <w:rsid w:val="002A7692"/>
    <w:rsid w:val="002B5D90"/>
    <w:rsid w:val="002C6E3A"/>
    <w:rsid w:val="002D1C9D"/>
    <w:rsid w:val="002D204A"/>
    <w:rsid w:val="002D5D18"/>
    <w:rsid w:val="002F0377"/>
    <w:rsid w:val="002F5E8A"/>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B383D"/>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5214"/>
    <w:rsid w:val="004D6C81"/>
    <w:rsid w:val="004F4EAB"/>
    <w:rsid w:val="004F584D"/>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586D"/>
    <w:rsid w:val="00696AA6"/>
    <w:rsid w:val="006A22DD"/>
    <w:rsid w:val="006A3D6A"/>
    <w:rsid w:val="006A73D9"/>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2AFC"/>
    <w:rsid w:val="00775333"/>
    <w:rsid w:val="00782758"/>
    <w:rsid w:val="007A109F"/>
    <w:rsid w:val="007C02FC"/>
    <w:rsid w:val="007C251B"/>
    <w:rsid w:val="007C5491"/>
    <w:rsid w:val="007C59C5"/>
    <w:rsid w:val="007C5ADE"/>
    <w:rsid w:val="007D53E0"/>
    <w:rsid w:val="007F48C1"/>
    <w:rsid w:val="00806231"/>
    <w:rsid w:val="00815A29"/>
    <w:rsid w:val="008220A7"/>
    <w:rsid w:val="00841468"/>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769"/>
    <w:rsid w:val="009C5868"/>
    <w:rsid w:val="009D5486"/>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3E96"/>
    <w:rsid w:val="00C24F88"/>
    <w:rsid w:val="00C30DC7"/>
    <w:rsid w:val="00C426A8"/>
    <w:rsid w:val="00C44371"/>
    <w:rsid w:val="00C44F0D"/>
    <w:rsid w:val="00C54CFF"/>
    <w:rsid w:val="00C61E25"/>
    <w:rsid w:val="00C82220"/>
    <w:rsid w:val="00C90104"/>
    <w:rsid w:val="00C90A3A"/>
    <w:rsid w:val="00CA4125"/>
    <w:rsid w:val="00CA603A"/>
    <w:rsid w:val="00CA752B"/>
    <w:rsid w:val="00CD5575"/>
    <w:rsid w:val="00CD60B2"/>
    <w:rsid w:val="00CE49F8"/>
    <w:rsid w:val="00D00533"/>
    <w:rsid w:val="00D049F7"/>
    <w:rsid w:val="00D06E30"/>
    <w:rsid w:val="00D07F4C"/>
    <w:rsid w:val="00D12CB0"/>
    <w:rsid w:val="00D1459C"/>
    <w:rsid w:val="00D14847"/>
    <w:rsid w:val="00D16D62"/>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A5815"/>
    <w:rsid w:val="00DD1134"/>
    <w:rsid w:val="00DE7121"/>
    <w:rsid w:val="00DF1C49"/>
    <w:rsid w:val="00DF7C08"/>
    <w:rsid w:val="00E01E67"/>
    <w:rsid w:val="00E030A5"/>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A6674"/>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1316</Words>
  <Characters>6805</Characters>
  <Application>Microsoft Office Word</Application>
  <DocSecurity>0</DocSecurity>
  <Lines>144</Lines>
  <Paragraphs>32</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8</cp:revision>
  <cp:lastPrinted>2026-05-07T21:39:00Z</cp:lastPrinted>
  <dcterms:created xsi:type="dcterms:W3CDTF">2026-05-06T15:58:00Z</dcterms:created>
  <dcterms:modified xsi:type="dcterms:W3CDTF">2026-05-08T19:24:00Z</dcterms:modified>
</cp:coreProperties>
</file>