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6471FE3B" w:rsidR="00EB54B0" w:rsidRDefault="0052190C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Rock Economic Development Group</w:t>
      </w:r>
    </w:p>
    <w:p w14:paraId="374150AF" w14:textId="10AA103D" w:rsidR="0052190C" w:rsidRDefault="0052190C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630 Woodward Ave.</w:t>
      </w:r>
    </w:p>
    <w:p w14:paraId="47097F36" w14:textId="6F31ED96" w:rsidR="0052190C" w:rsidRDefault="0052190C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48226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0CD57D94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EB54B0">
        <w:rPr>
          <w:color w:val="000000"/>
          <w:sz w:val="24"/>
          <w:szCs w:val="24"/>
        </w:rPr>
        <w:t>encroachment</w:t>
      </w:r>
      <w:r w:rsidR="0052190C">
        <w:rPr>
          <w:color w:val="000000"/>
          <w:sz w:val="24"/>
          <w:szCs w:val="24"/>
        </w:rPr>
        <w:t>s within the westerly part of St. Antoine St. Adjacent to the parcel commonly known as 580 Clinton Ave. for existing tree grates and decorative pavers.</w:t>
      </w:r>
      <w:r w:rsidR="00EB54B0">
        <w:rPr>
          <w:color w:val="000000"/>
          <w:sz w:val="24"/>
          <w:szCs w:val="24"/>
        </w:rPr>
        <w:t xml:space="preserve"> 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2B284413" w:rsidR="0052190C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42C868C4" w14:textId="77777777" w:rsidR="0052190C" w:rsidRDefault="0052190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5F67662" w14:textId="22FA4F8D" w:rsidR="0052190C" w:rsidRDefault="0052190C" w:rsidP="003D61CF">
      <w:pPr>
        <w:jc w:val="both"/>
        <w:rPr>
          <w:color w:val="000000"/>
          <w:sz w:val="24"/>
          <w:szCs w:val="24"/>
        </w:rPr>
      </w:pPr>
      <w:r w:rsidRPr="0052190C">
        <w:rPr>
          <w:color w:val="000000"/>
          <w:sz w:val="24"/>
          <w:szCs w:val="24"/>
        </w:rPr>
        <w:lastRenderedPageBreak/>
        <w:drawing>
          <wp:inline distT="0" distB="0" distL="0" distR="0" wp14:anchorId="77CA94E2" wp14:editId="77FE0C52">
            <wp:extent cx="5430008" cy="7640116"/>
            <wp:effectExtent l="0" t="0" r="0" b="0"/>
            <wp:docPr id="258370180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70180" name="Picture 1" descr="Text, let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764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58C8" w14:textId="75F65C06" w:rsidR="0052190C" w:rsidRDefault="0052190C">
      <w:pPr>
        <w:rPr>
          <w:color w:val="000000"/>
          <w:sz w:val="24"/>
          <w:szCs w:val="24"/>
        </w:rPr>
      </w:pPr>
      <w:r w:rsidRPr="0052190C">
        <w:rPr>
          <w:color w:val="000000"/>
          <w:sz w:val="24"/>
          <w:szCs w:val="24"/>
        </w:rPr>
        <w:lastRenderedPageBreak/>
        <w:drawing>
          <wp:inline distT="0" distB="0" distL="0" distR="0" wp14:anchorId="0735364A" wp14:editId="4C7C39F8">
            <wp:extent cx="5715000" cy="3766185"/>
            <wp:effectExtent l="0" t="0" r="0" b="5715"/>
            <wp:docPr id="858163937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63937" name="Picture 1" descr="Diagram, engineering draw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52572AA5" w14:textId="54C8BF27" w:rsidR="0052190C" w:rsidRDefault="0052190C">
      <w:pPr>
        <w:rPr>
          <w:color w:val="000000"/>
          <w:sz w:val="24"/>
          <w:szCs w:val="24"/>
        </w:rPr>
      </w:pPr>
    </w:p>
    <w:p w14:paraId="48C5B4F9" w14:textId="0B9A5C54" w:rsidR="00702F30" w:rsidRPr="00702F30" w:rsidRDefault="0052190C" w:rsidP="003D61CF">
      <w:pPr>
        <w:jc w:val="both"/>
        <w:rPr>
          <w:color w:val="000000"/>
          <w:sz w:val="24"/>
          <w:szCs w:val="24"/>
        </w:rPr>
      </w:pPr>
      <w:r w:rsidRPr="0052190C">
        <w:rPr>
          <w:color w:val="000000"/>
          <w:sz w:val="24"/>
          <w:szCs w:val="24"/>
        </w:rPr>
        <w:drawing>
          <wp:inline distT="0" distB="0" distL="0" distR="0" wp14:anchorId="3BD4AA31" wp14:editId="16796169">
            <wp:extent cx="5715000" cy="4274820"/>
            <wp:effectExtent l="0" t="0" r="0" b="0"/>
            <wp:docPr id="1280505007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05007" name="Picture 1" descr="Diagram, engineering draw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52190C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C602D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2026-02-26T13:04:00Z</dcterms:created>
  <dcterms:modified xsi:type="dcterms:W3CDTF">2026-02-26T13:04:00Z</dcterms:modified>
</cp:coreProperties>
</file>