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1648A77D" w:rsidR="00F837DC" w:rsidRPr="005731A3" w:rsidRDefault="0041630B" w:rsidP="00F837DC">
      <w:pPr>
        <w:jc w:val="both"/>
        <w:rPr>
          <w:rFonts w:ascii="Cambria Math" w:hAnsi="Cambria Math"/>
          <w:color w:val="000000" w:themeColor="text1"/>
        </w:rPr>
      </w:pPr>
      <w:r>
        <w:rPr>
          <w:rFonts w:ascii="Cambria Math" w:hAnsi="Cambria Math"/>
          <w:color w:val="000000" w:themeColor="text1"/>
        </w:rPr>
        <w:t xml:space="preserve">October </w:t>
      </w:r>
      <w:r w:rsidR="00A914B9">
        <w:rPr>
          <w:rFonts w:ascii="Cambria Math" w:hAnsi="Cambria Math"/>
          <w:color w:val="000000" w:themeColor="text1"/>
        </w:rPr>
        <w:t>20</w:t>
      </w:r>
      <w:r>
        <w:rPr>
          <w:rFonts w:ascii="Cambria Math" w:hAnsi="Cambria Math"/>
          <w:color w:val="000000" w:themeColor="text1"/>
        </w:rPr>
        <w:t>th</w:t>
      </w:r>
      <w:r w:rsidR="00F837DC" w:rsidRPr="005731A3">
        <w:rPr>
          <w:rFonts w:ascii="Cambria Math" w:hAnsi="Cambria Math"/>
          <w:color w:val="000000" w:themeColor="text1"/>
        </w:rPr>
        <w:t>, 202</w:t>
      </w:r>
      <w:r w:rsidR="00DA4578">
        <w:rPr>
          <w:rFonts w:ascii="Cambria Math" w:hAnsi="Cambria Math"/>
          <w:color w:val="000000" w:themeColor="text1"/>
        </w:rPr>
        <w:t>3</w:t>
      </w:r>
    </w:p>
    <w:p w14:paraId="5A7DA2A6" w14:textId="77777777" w:rsidR="00F837DC" w:rsidRPr="005731A3" w:rsidRDefault="00F837DC" w:rsidP="00F837DC">
      <w:pPr>
        <w:jc w:val="both"/>
        <w:rPr>
          <w:rFonts w:ascii="Cambria Math" w:hAnsi="Cambria Math"/>
          <w:color w:val="000000" w:themeColor="text1"/>
        </w:rPr>
      </w:pPr>
    </w:p>
    <w:p w14:paraId="20D59ABD" w14:textId="77777777" w:rsidR="00F837DC" w:rsidRPr="005731A3" w:rsidRDefault="00F837DC" w:rsidP="00F837DC">
      <w:pPr>
        <w:jc w:val="both"/>
        <w:rPr>
          <w:rFonts w:ascii="Cambria Math" w:hAnsi="Cambria Math"/>
          <w:color w:val="000000" w:themeColor="text1"/>
        </w:rPr>
      </w:pPr>
      <w:r w:rsidRPr="005731A3">
        <w:rPr>
          <w:rFonts w:ascii="Cambria Math" w:hAnsi="Cambria Math"/>
          <w:color w:val="000000" w:themeColor="text1"/>
        </w:rPr>
        <w:t>Honorable City Council:</w:t>
      </w:r>
    </w:p>
    <w:p w14:paraId="3D9E15BC" w14:textId="77777777" w:rsidR="00F837DC" w:rsidRPr="005731A3" w:rsidRDefault="00F837DC" w:rsidP="00F837DC">
      <w:pPr>
        <w:jc w:val="both"/>
        <w:rPr>
          <w:rFonts w:ascii="Cambria Math" w:hAnsi="Cambria Math"/>
          <w:color w:val="000000" w:themeColor="text1"/>
        </w:rPr>
      </w:pPr>
    </w:p>
    <w:p w14:paraId="46B01103" w14:textId="1D6A327D" w:rsidR="00AF7C96" w:rsidRPr="00AF7C96" w:rsidRDefault="00F837DC" w:rsidP="00AF7C96">
      <w:pPr>
        <w:ind w:left="720" w:hanging="720"/>
        <w:jc w:val="both"/>
        <w:rPr>
          <w:rFonts w:ascii="Cambria Math" w:hAnsi="Cambria Math"/>
          <w:b/>
          <w:bCs/>
        </w:rPr>
      </w:pPr>
      <w:r w:rsidRPr="005731A3">
        <w:rPr>
          <w:rFonts w:ascii="Cambria Math" w:hAnsi="Cambria Math"/>
          <w:color w:val="000000" w:themeColor="text1"/>
        </w:rPr>
        <w:t>RE:</w:t>
      </w:r>
      <w:r w:rsidR="00AF7C96">
        <w:rPr>
          <w:rFonts w:ascii="Cambria Math" w:hAnsi="Cambria Math"/>
          <w:color w:val="000000" w:themeColor="text1"/>
        </w:rPr>
        <w:tab/>
      </w:r>
      <w:r w:rsidR="00AF7C96" w:rsidRPr="00AF7C96">
        <w:rPr>
          <w:rFonts w:ascii="Cambria Math" w:hAnsi="Cambria Math"/>
          <w:b/>
          <w:bCs/>
        </w:rPr>
        <w:t>Petition Number x2023-</w:t>
      </w:r>
      <w:r w:rsidR="00A914B9">
        <w:rPr>
          <w:rFonts w:ascii="Cambria Math" w:hAnsi="Cambria Math"/>
          <w:b/>
          <w:bCs/>
        </w:rPr>
        <w:t>361</w:t>
      </w:r>
      <w:r w:rsidR="00381256">
        <w:rPr>
          <w:rFonts w:ascii="Cambria Math" w:hAnsi="Cambria Math"/>
          <w:b/>
          <w:bCs/>
        </w:rPr>
        <w:t>,</w:t>
      </w:r>
      <w:r w:rsidR="00AF7C96" w:rsidRPr="00AF7C96">
        <w:rPr>
          <w:rFonts w:ascii="Cambria Math" w:hAnsi="Cambria Math"/>
          <w:b/>
          <w:bCs/>
        </w:rPr>
        <w:t xml:space="preserve"> Whitney Building SPE LLC, request for the temporary closure of a public alley</w:t>
      </w:r>
      <w:r w:rsidR="00AF7C96">
        <w:rPr>
          <w:rFonts w:ascii="Cambria Math" w:hAnsi="Cambria Math"/>
          <w:b/>
          <w:bCs/>
        </w:rPr>
        <w:t xml:space="preserve"> </w:t>
      </w:r>
      <w:r w:rsidR="00AF7C96" w:rsidRPr="00AF7C96">
        <w:rPr>
          <w:rFonts w:ascii="Cambria Math" w:hAnsi="Cambria Math"/>
          <w:b/>
          <w:bCs/>
        </w:rPr>
        <w:t>located adjacent to 1 Park Avenue, for a period of five (5) years.</w:t>
      </w:r>
    </w:p>
    <w:p w14:paraId="74B4954D" w14:textId="6B898744" w:rsidR="00F837DC" w:rsidRPr="0065404A" w:rsidRDefault="00F837DC" w:rsidP="00F837DC">
      <w:pPr>
        <w:pStyle w:val="BodyTextIndent"/>
        <w:rPr>
          <w:rFonts w:ascii="Cambria Math" w:hAnsi="Cambria Math"/>
        </w:rPr>
      </w:pPr>
    </w:p>
    <w:p w14:paraId="4ED09A2A" w14:textId="77777777" w:rsidR="00F837DC" w:rsidRPr="0065404A" w:rsidRDefault="00F837DC" w:rsidP="00F837DC">
      <w:pPr>
        <w:pStyle w:val="BodyTextIndent"/>
        <w:rPr>
          <w:rFonts w:ascii="Cambria Math" w:hAnsi="Cambria Math"/>
        </w:rPr>
      </w:pPr>
    </w:p>
    <w:p w14:paraId="50E7DB22" w14:textId="0E1F9FC8" w:rsidR="005731A3" w:rsidRDefault="00DA4578" w:rsidP="00F837DC">
      <w:pPr>
        <w:jc w:val="both"/>
        <w:rPr>
          <w:rFonts w:ascii="Cambria Math" w:hAnsi="Cambria Math"/>
        </w:rPr>
      </w:pPr>
      <w:r w:rsidRPr="00DA4578">
        <w:rPr>
          <w:rFonts w:ascii="Cambria Math" w:hAnsi="Cambria Math"/>
        </w:rPr>
        <w:t>Petition Number x</w:t>
      </w:r>
      <w:r w:rsidR="0041630B">
        <w:rPr>
          <w:rFonts w:ascii="Cambria Math" w:hAnsi="Cambria Math"/>
        </w:rPr>
        <w:t>2023-</w:t>
      </w:r>
      <w:r w:rsidR="00A914B9">
        <w:rPr>
          <w:rFonts w:ascii="Cambria Math" w:hAnsi="Cambria Math"/>
        </w:rPr>
        <w:t>361</w:t>
      </w:r>
      <w:r w:rsidR="00381256">
        <w:rPr>
          <w:rFonts w:ascii="Cambria Math" w:hAnsi="Cambria Math"/>
        </w:rPr>
        <w:t>,</w:t>
      </w:r>
      <w:r w:rsidR="0041630B">
        <w:rPr>
          <w:rFonts w:ascii="Cambria Math" w:hAnsi="Cambria Math"/>
        </w:rPr>
        <w:t xml:space="preserve"> Whitney Building SPE LLC</w:t>
      </w:r>
      <w:r w:rsidRPr="00DA4578">
        <w:rPr>
          <w:rFonts w:ascii="Cambria Math" w:hAnsi="Cambria Math"/>
        </w:rPr>
        <w:t xml:space="preserve">, request for the temporary closure of </w:t>
      </w:r>
      <w:r w:rsidR="0041630B">
        <w:rPr>
          <w:rFonts w:ascii="Cambria Math" w:hAnsi="Cambria Math"/>
        </w:rPr>
        <w:t>a public alley</w:t>
      </w:r>
      <w:r>
        <w:rPr>
          <w:rFonts w:ascii="Cambria Math" w:hAnsi="Cambria Math"/>
        </w:rPr>
        <w:t xml:space="preserve">, </w:t>
      </w:r>
      <w:r w:rsidR="0041630B">
        <w:rPr>
          <w:rFonts w:ascii="Cambria Math" w:hAnsi="Cambria Math"/>
        </w:rPr>
        <w:t>20</w:t>
      </w:r>
      <w:r>
        <w:rPr>
          <w:rFonts w:ascii="Cambria Math" w:hAnsi="Cambria Math"/>
        </w:rPr>
        <w:t xml:space="preserve"> ft. wide,</w:t>
      </w:r>
      <w:r w:rsidR="0041630B">
        <w:rPr>
          <w:rFonts w:ascii="Cambria Math" w:hAnsi="Cambria Math"/>
        </w:rPr>
        <w:t xml:space="preserve"> located adjacent to 1 Park Avenue,</w:t>
      </w:r>
      <w:r w:rsidRPr="00DA4578">
        <w:rPr>
          <w:rFonts w:ascii="Cambria Math" w:hAnsi="Cambria Math"/>
        </w:rPr>
        <w:t xml:space="preserve"> for a period of five (5) years.</w:t>
      </w:r>
    </w:p>
    <w:p w14:paraId="6E2860C8" w14:textId="77777777" w:rsidR="00DA4578" w:rsidRPr="0065404A" w:rsidRDefault="00DA4578"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1042EC95" w14:textId="77777777" w:rsidR="00F837DC" w:rsidRPr="0065404A" w:rsidRDefault="00F837DC" w:rsidP="00F837DC">
      <w:pPr>
        <w:jc w:val="both"/>
        <w:rPr>
          <w:rFonts w:ascii="Cambria Math" w:hAnsi="Cambria Math"/>
        </w:rPr>
      </w:pPr>
    </w:p>
    <w:p w14:paraId="0BFEC682" w14:textId="7E2C1740" w:rsidR="00AF7C96" w:rsidRPr="0065404A" w:rsidRDefault="00F837DC" w:rsidP="00F837DC">
      <w:pPr>
        <w:jc w:val="both"/>
        <w:rPr>
          <w:rFonts w:ascii="Cambria Math" w:hAnsi="Cambria Math"/>
        </w:rPr>
      </w:pPr>
      <w:r w:rsidRPr="0065404A">
        <w:rPr>
          <w:rFonts w:ascii="Cambria Math" w:hAnsi="Cambria Math"/>
        </w:rPr>
        <w:t>All other city departments and utilities have reported no objections to t</w:t>
      </w:r>
      <w:r w:rsidR="00DA4578">
        <w:rPr>
          <w:rFonts w:ascii="Cambria Math" w:hAnsi="Cambria Math"/>
        </w:rPr>
        <w:t>he temporary closure, provided th</w:t>
      </w:r>
      <w:r w:rsidR="0041630B">
        <w:rPr>
          <w:rFonts w:ascii="Cambria Math" w:hAnsi="Cambria Math"/>
        </w:rPr>
        <w:t>at</w:t>
      </w:r>
      <w:r w:rsidR="00DA4578">
        <w:rPr>
          <w:rFonts w:ascii="Cambria Math" w:hAnsi="Cambria Math"/>
        </w:rPr>
        <w:t xml:space="preserve"> the right to</w:t>
      </w:r>
      <w:r w:rsidR="0041630B">
        <w:rPr>
          <w:rFonts w:ascii="Cambria Math" w:hAnsi="Cambria Math"/>
        </w:rPr>
        <w:t xml:space="preserve"> 24-hour</w:t>
      </w:r>
      <w:r w:rsidR="00DA4578">
        <w:rPr>
          <w:rFonts w:ascii="Cambria Math" w:hAnsi="Cambria Math"/>
        </w:rPr>
        <w:t xml:space="preserve"> </w:t>
      </w:r>
      <w:r w:rsidR="0041630B">
        <w:rPr>
          <w:rFonts w:ascii="Cambria Math" w:hAnsi="Cambria Math"/>
        </w:rPr>
        <w:t>access</w:t>
      </w:r>
      <w:r w:rsidR="00DA4578">
        <w:rPr>
          <w:rFonts w:ascii="Cambria Math" w:hAnsi="Cambria Math"/>
        </w:rPr>
        <w:t xml:space="preserve"> </w:t>
      </w:r>
      <w:r w:rsidR="0041630B">
        <w:rPr>
          <w:rFonts w:ascii="Cambria Math" w:hAnsi="Cambria Math"/>
        </w:rPr>
        <w:t>is provided</w:t>
      </w:r>
      <w:r w:rsidR="00DA4578">
        <w:rPr>
          <w:rFonts w:ascii="Cambria Math" w:hAnsi="Cambria Math"/>
        </w:rPr>
        <w:t xml:space="preserve"> t</w:t>
      </w:r>
      <w:r w:rsidR="0041630B">
        <w:rPr>
          <w:rFonts w:ascii="Cambria Math" w:hAnsi="Cambria Math"/>
        </w:rPr>
        <w:t xml:space="preserve">o their </w:t>
      </w:r>
      <w:r w:rsidR="00DA4578">
        <w:rPr>
          <w:rFonts w:ascii="Cambria Math" w:hAnsi="Cambria Math"/>
        </w:rPr>
        <w:t>facilities.  Provisions protecting the rights of the utilities and the City are a part of this resolution.</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180672FB" w:rsidR="00F837DC" w:rsidRDefault="00F837DC" w:rsidP="00F837DC">
      <w:pPr>
        <w:jc w:val="both"/>
        <w:rPr>
          <w:rFonts w:ascii="Cambria Math" w:hAnsi="Cambria Math"/>
        </w:rPr>
      </w:pPr>
    </w:p>
    <w:p w14:paraId="4A75CBAB" w14:textId="77777777" w:rsidR="00DA4578" w:rsidRPr="0065404A" w:rsidRDefault="00DA4578"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2ACAAA6F"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26EEB62D" w14:textId="77777777" w:rsidR="0041630B" w:rsidRDefault="0041630B" w:rsidP="00AA182B">
      <w:pPr>
        <w:jc w:val="both"/>
      </w:pPr>
    </w:p>
    <w:p w14:paraId="6F0B51ED" w14:textId="77777777" w:rsidR="0041630B" w:rsidRDefault="0041630B" w:rsidP="00AA182B">
      <w:pPr>
        <w:jc w:val="both"/>
      </w:pPr>
    </w:p>
    <w:p w14:paraId="262009D4" w14:textId="77777777" w:rsidR="0041630B" w:rsidRDefault="0041630B" w:rsidP="00AA182B">
      <w:pPr>
        <w:jc w:val="both"/>
      </w:pPr>
    </w:p>
    <w:p w14:paraId="64BD5016" w14:textId="77777777" w:rsidR="0041630B" w:rsidRDefault="0041630B" w:rsidP="00AA182B">
      <w:pPr>
        <w:jc w:val="both"/>
      </w:pPr>
    </w:p>
    <w:p w14:paraId="671707D9" w14:textId="3625D731"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54E3B3F3" w14:textId="3E7B4A5E" w:rsidR="00DA4578" w:rsidRDefault="00DA4578" w:rsidP="00325384">
      <w:pPr>
        <w:pStyle w:val="BodyText"/>
      </w:pPr>
    </w:p>
    <w:p w14:paraId="2EA47CC8" w14:textId="30E45432" w:rsidR="005731A3" w:rsidRDefault="00A853A4" w:rsidP="00A853A4">
      <w:pPr>
        <w:ind w:left="720"/>
        <w:jc w:val="both"/>
      </w:pPr>
      <w:r>
        <w:t xml:space="preserve">Public alley, 20 ft. wide, lying southerly of and adjacent to lot 20 and lying northerly of and adjacent to lot 19 of “Section 8 of Governor’s and Judges Plan” as recorded in Liber 34, Page 543 of Plats, Wayne County Records. </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PROVIDED, No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remove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PROVIDED, This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r>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t xml:space="preserve">PROVIDED, that this resolution is revocable at the will, whim, or caprice of the Detroit City Council without cause.  The petitioner waives the right to claim damages or compensation for removal of encroachments. Further, the permittee acquires no implied or other privileges </w:t>
      </w:r>
      <w:r>
        <w:lastRenderedPageBreak/>
        <w:t>hereunder not expressly stated herein.  If this permit is continued for the five (5) year period, the City Council may (Upon written request and if the circumstances justify accordingly) grant an extension thereto; and</w:t>
      </w:r>
    </w:p>
    <w:p w14:paraId="148C8FEC" w14:textId="77777777" w:rsidR="00AF7C96" w:rsidRDefault="00AF7C96" w:rsidP="00D12CB0">
      <w:pPr>
        <w:jc w:val="both"/>
      </w:pPr>
    </w:p>
    <w:p w14:paraId="3A47B787" w14:textId="3E15A854" w:rsidR="00AF7C96" w:rsidRDefault="00AF7C96" w:rsidP="00D12CB0">
      <w:pPr>
        <w:jc w:val="both"/>
      </w:pPr>
      <w:r>
        <w:t>PROVIDED, that the 5-year period for the temporary closure shall begin on the date City Council approves this resolution; and further</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1256"/>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30B"/>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0CB8"/>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3A4"/>
    <w:rsid w:val="00A858A3"/>
    <w:rsid w:val="00A914B9"/>
    <w:rsid w:val="00AA182B"/>
    <w:rsid w:val="00AA3C14"/>
    <w:rsid w:val="00AA43B0"/>
    <w:rsid w:val="00AB686E"/>
    <w:rsid w:val="00AC6D24"/>
    <w:rsid w:val="00AD183C"/>
    <w:rsid w:val="00AE0FB0"/>
    <w:rsid w:val="00AE5D70"/>
    <w:rsid w:val="00AF6774"/>
    <w:rsid w:val="00AF7C96"/>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6</cp:revision>
  <cp:lastPrinted>2023-10-05T13:12:00Z</cp:lastPrinted>
  <dcterms:created xsi:type="dcterms:W3CDTF">2023-10-03T20:32:00Z</dcterms:created>
  <dcterms:modified xsi:type="dcterms:W3CDTF">2023-10-16T20:19:00Z</dcterms:modified>
</cp:coreProperties>
</file>